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MaxWorkRoles – Compliance Mapping Reference</w:t>
      </w:r>
    </w:p>
    <w:p>
      <w:r>
        <w:t>System: MaxWorkRoles</w:t>
      </w:r>
    </w:p>
    <w:p>
      <w:r>
        <w:t>Document Type: Regulatory Reference Sheet</w:t>
      </w:r>
    </w:p>
    <w:p>
      <w:r>
        <w:t>Version: 1.0</w:t>
      </w:r>
    </w:p>
    <w:p>
      <w:r>
        <w:t>Responsible: TBYD Legal-Tech Interface Unit / CTO Compliance Track</w:t>
      </w:r>
    </w:p>
    <w:p>
      <w:r>
        <w:t>License Model: TBYD License v2.2 / Audit Addendum A</w:t>
      </w:r>
    </w:p>
    <w:p>
      <w:r>
        <w:t>Standards Reference: ISO/IEC 15408, TBYD Protocol v2.1, AIM v1.0-compatible</w:t>
      </w:r>
    </w:p>
    <w:p>
      <w:r>
        <w:t>Applicability: MaxOneOpen v4.1+ / Public Sector / Regulated OSS</w:t>
      </w:r>
    </w:p>
    <w:p/>
    <w:p>
      <w:pPr>
        <w:pStyle w:val="Heading1"/>
      </w:pPr>
      <w:r>
        <w:t>1. Purpose</w:t>
      </w:r>
    </w:p>
    <w:p>
      <w:r>
        <w:t>This document maps the functionality and enforcement capabilities of MaxWorkRoles to common regulatory frameworks. It provides compliance teams, auditors, and executive stakeholders with a verified alignment reference across GDPR, SOX, DORA, and NIS2.</w:t>
      </w:r>
    </w:p>
    <w:p>
      <w:pPr>
        <w:pStyle w:val="Heading1"/>
      </w:pPr>
      <w:r>
        <w:t>2. Regulation Mapping Overview</w:t>
      </w:r>
    </w:p>
    <w:tbl>
      <w:tblPr>
        <w:tblW w:type="auto" w:w="0"/>
        <w:tblLook w:firstColumn="1" w:firstRow="1" w:lastColumn="0" w:lastRow="0" w:noHBand="0" w:noVBand="1" w:val="04A0"/>
      </w:tblPr>
      <w:tblGrid>
        <w:gridCol w:w="2880"/>
        <w:gridCol w:w="2880"/>
        <w:gridCol w:w="2880"/>
      </w:tblGrid>
      <w:tr>
        <w:tc>
          <w:tcPr>
            <w:tcW w:type="dxa" w:w="2880"/>
          </w:tcPr>
          <w:p>
            <w:r>
              <w:t>Regulation &amp; Article</w:t>
            </w:r>
          </w:p>
        </w:tc>
        <w:tc>
          <w:tcPr>
            <w:tcW w:type="dxa" w:w="2880"/>
          </w:tcPr>
          <w:p>
            <w:r>
              <w:t>Compliance Domain</w:t>
            </w:r>
          </w:p>
        </w:tc>
        <w:tc>
          <w:tcPr>
            <w:tcW w:type="dxa" w:w="2880"/>
          </w:tcPr>
          <w:p>
            <w:r>
              <w:t>How MaxWorkRoles Supports It</w:t>
            </w:r>
          </w:p>
        </w:tc>
      </w:tr>
      <w:tr>
        <w:tc>
          <w:tcPr>
            <w:tcW w:type="dxa" w:w="2880"/>
          </w:tcPr>
          <w:p>
            <w:r>
              <w:t>GDPR Art. 5(1)(f), 32</w:t>
            </w:r>
          </w:p>
        </w:tc>
        <w:tc>
          <w:tcPr>
            <w:tcW w:type="dxa" w:w="2880"/>
          </w:tcPr>
          <w:p>
            <w:r>
              <w:t>Integrity and confidentiality</w:t>
            </w:r>
          </w:p>
        </w:tc>
        <w:tc>
          <w:tcPr>
            <w:tcW w:type="dxa" w:w="2880"/>
          </w:tcPr>
          <w:p>
            <w:r>
              <w:t>All roles are capsule-bound and cryptographically enforced, ensuring no unauthorized access.</w:t>
            </w:r>
          </w:p>
        </w:tc>
      </w:tr>
      <w:tr>
        <w:tc>
          <w:tcPr>
            <w:tcW w:type="dxa" w:w="2880"/>
          </w:tcPr>
          <w:p>
            <w:r>
              <w:t>GDPR Art. 30, 33</w:t>
            </w:r>
          </w:p>
        </w:tc>
        <w:tc>
          <w:tcPr>
            <w:tcW w:type="dxa" w:w="2880"/>
          </w:tcPr>
          <w:p>
            <w:r>
              <w:t>Trace and breach documentation</w:t>
            </w:r>
          </w:p>
        </w:tc>
        <w:tc>
          <w:tcPr>
            <w:tcW w:type="dxa" w:w="2880"/>
          </w:tcPr>
          <w:p>
            <w:r>
              <w:t>All role activities are trace-logged and exportable through MaxAudit.</w:t>
            </w:r>
          </w:p>
        </w:tc>
      </w:tr>
      <w:tr>
        <w:tc>
          <w:tcPr>
            <w:tcW w:type="dxa" w:w="2880"/>
          </w:tcPr>
          <w:p>
            <w:r>
              <w:t>SOX Sec. 302, 404</w:t>
            </w:r>
          </w:p>
        </w:tc>
        <w:tc>
          <w:tcPr>
            <w:tcW w:type="dxa" w:w="2880"/>
          </w:tcPr>
          <w:p>
            <w:r>
              <w:t>Access control and auditability</w:t>
            </w:r>
          </w:p>
        </w:tc>
        <w:tc>
          <w:tcPr>
            <w:tcW w:type="dxa" w:w="2880"/>
          </w:tcPr>
          <w:p>
            <w:r>
              <w:t>MaxWorkRoles defines role delegation with full audit trail and verifiable authority chain.</w:t>
            </w:r>
          </w:p>
        </w:tc>
      </w:tr>
      <w:tr>
        <w:tc>
          <w:tcPr>
            <w:tcW w:type="dxa" w:w="2880"/>
          </w:tcPr>
          <w:p>
            <w:r>
              <w:t>SOX Sec. 409</w:t>
            </w:r>
          </w:p>
        </w:tc>
        <w:tc>
          <w:tcPr>
            <w:tcW w:type="dxa" w:w="2880"/>
          </w:tcPr>
          <w:p>
            <w:r>
              <w:t>Real-time disclosures</w:t>
            </w:r>
          </w:p>
        </w:tc>
        <w:tc>
          <w:tcPr>
            <w:tcW w:type="dxa" w:w="2880"/>
          </w:tcPr>
          <w:p>
            <w:r>
              <w:t>Panic Revocation Channel enables emergency intervention with immediate effect.</w:t>
            </w:r>
          </w:p>
        </w:tc>
      </w:tr>
      <w:tr>
        <w:tc>
          <w:tcPr>
            <w:tcW w:type="dxa" w:w="2880"/>
          </w:tcPr>
          <w:p>
            <w:r>
              <w:t>DORA Art. 5, 10, 15</w:t>
            </w:r>
          </w:p>
        </w:tc>
        <w:tc>
          <w:tcPr>
            <w:tcW w:type="dxa" w:w="2880"/>
          </w:tcPr>
          <w:p>
            <w:r>
              <w:t>ICT risk control and access logging</w:t>
            </w:r>
          </w:p>
        </w:tc>
        <w:tc>
          <w:tcPr>
            <w:tcW w:type="dxa" w:w="2880"/>
          </w:tcPr>
          <w:p>
            <w:r>
              <w:t>MaxWorkRoles enforces runtime-verified access and supports post-mortem trace capsules.</w:t>
            </w:r>
          </w:p>
        </w:tc>
      </w:tr>
      <w:tr>
        <w:tc>
          <w:tcPr>
            <w:tcW w:type="dxa" w:w="2880"/>
          </w:tcPr>
          <w:p>
            <w:r>
              <w:t>DORA Art. 17</w:t>
            </w:r>
          </w:p>
        </w:tc>
        <w:tc>
          <w:tcPr>
            <w:tcW w:type="dxa" w:w="2880"/>
          </w:tcPr>
          <w:p>
            <w:r>
              <w:t>Incident response mechanisms</w:t>
            </w:r>
          </w:p>
        </w:tc>
        <w:tc>
          <w:tcPr>
            <w:tcW w:type="dxa" w:w="2880"/>
          </w:tcPr>
          <w:p>
            <w:r>
              <w:t>Capsule-based breach triggers and trace exports support structured incident audits.</w:t>
            </w:r>
          </w:p>
        </w:tc>
      </w:tr>
      <w:tr>
        <w:tc>
          <w:tcPr>
            <w:tcW w:type="dxa" w:w="2880"/>
          </w:tcPr>
          <w:p>
            <w:r>
              <w:t>NIS2 Art. 21(2)</w:t>
            </w:r>
          </w:p>
        </w:tc>
        <w:tc>
          <w:tcPr>
            <w:tcW w:type="dxa" w:w="2880"/>
          </w:tcPr>
          <w:p>
            <w:r>
              <w:t>Technical and organizational measures</w:t>
            </w:r>
          </w:p>
        </w:tc>
        <w:tc>
          <w:tcPr>
            <w:tcW w:type="dxa" w:w="2880"/>
          </w:tcPr>
          <w:p>
            <w:r>
              <w:t>Capsule structure provides tenant-level isolation and delegation restriction.</w:t>
            </w:r>
          </w:p>
        </w:tc>
      </w:tr>
      <w:tr>
        <w:tc>
          <w:tcPr>
            <w:tcW w:type="dxa" w:w="2880"/>
          </w:tcPr>
          <w:p>
            <w:r>
              <w:t>NIS2 Art. 21(4)</w:t>
            </w:r>
          </w:p>
        </w:tc>
        <w:tc>
          <w:tcPr>
            <w:tcW w:type="dxa" w:w="2880"/>
          </w:tcPr>
          <w:p>
            <w:r>
              <w:t>Access control policies</w:t>
            </w:r>
          </w:p>
        </w:tc>
        <w:tc>
          <w:tcPr>
            <w:tcW w:type="dxa" w:w="2880"/>
          </w:tcPr>
          <w:p>
            <w:r>
              <w:t>All role scopes are explicitly enforced and revocable, with audit-driven justification.</w:t>
            </w:r>
          </w:p>
        </w:tc>
      </w:tr>
    </w:tbl>
    <w:p>
      <w:pPr>
        <w:pStyle w:val="Heading1"/>
      </w:pPr>
      <w:r>
        <w:t>3. Scope Limitations</w:t>
      </w:r>
    </w:p>
    <w:p>
      <w:r>
        <w:t>MaxWorkRoles is a role enforcement architecture – it does not enforce encryption of content, end-user consent flows, or data residency rules. It supports access-level compliance, traceability, and delegation integrity. For full regulatory conformity, integration with MaxAudit and MaxGovernance is assumed.</w:t>
      </w:r>
    </w:p>
    <w:p>
      <w:pPr>
        <w:pStyle w:val="Heading1"/>
      </w:pPr>
      <w:r>
        <w:t>4. CTO Summary</w:t>
      </w:r>
    </w:p>
    <w:p>
      <w:r>
        <w:t>MaxWorkRoles supports institutional, sovereign, and OSS deployments in complying with access control, audit traceability, and breach escalation standards. The capsule system provides formal evidence of operational authority, enabling verifiable legal and regulatory alignment without central IAM dependencies.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