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MUX-05: UX Freeze, Block &amp; Treaty Override</w:t>
      </w:r>
    </w:p>
    <w:p>
      <w:r>
        <w:t>System: MaxUXSuite</w:t>
      </w:r>
    </w:p>
    <w:p>
      <w:r>
        <w:t>Module ID: MUX-05</w:t>
      </w:r>
    </w:p>
    <w:p>
      <w:r>
        <w:t>Version: 1.0</w:t>
      </w:r>
    </w:p>
    <w:p>
      <w:r>
        <w:t>Title: UX Freeze, Block &amp; Treaty Override</w:t>
      </w:r>
    </w:p>
    <w:p>
      <w:r>
        <w:t>Classification: Governance-Driven UI Control Capsule</w:t>
      </w:r>
    </w:p>
    <w:p>
      <w:r>
        <w:t>Responsible: TBYD Override Enforcement Team</w:t>
      </w:r>
    </w:p>
    <w:p>
      <w:r>
        <w:t>License Model: TBYD License v2.2 / Audit Addendum A</w:t>
      </w:r>
    </w:p>
    <w:p>
      <w:r>
        <w:t>Standards Reference: TBYD Treaty Layer v3.0, ISO/IEC 27001,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how UI components can be programmatically frozen, blocked, or overridden through treaty-based governance events. It establishes structure for trust-based overrides, compliance-triggered UI freezes, and visual enforcement of policy breaches.</w:t>
      </w:r>
    </w:p>
    <w:p>
      <w:pPr>
        <w:pStyle w:val="Heading1"/>
      </w:pPr>
      <w:r>
        <w:t>2. Capsule Fields</w:t>
      </w:r>
    </w:p>
    <w:p>
      <w:r>
        <w:t>- capsule_id: unique identifier for freeze or override logic</w:t>
        <w:br/>
        <w:t>- freeze_trigger: reference to a policy, treaty clause, or capsule state</w:t>
        <w:br/>
        <w:t>- block_scope: ENUM { full-page, section, element, dialog }</w:t>
        <w:br/>
        <w:t>- override_authority: reference to authorized governance capsule (e.g., MaxTreaty)</w:t>
        <w:br/>
        <w:t>- justification_text: optional display text explaining the freeze condition</w:t>
        <w:br/>
        <w:t>- visual_freeze_mode: ENUM { mask, dim, disable, redirect }</w:t>
        <w:br/>
        <w:t>- audit_link: reference to trace anchor for justification</w:t>
      </w:r>
    </w:p>
    <w:p>
      <w:pPr>
        <w:pStyle w:val="Heading1"/>
      </w:pPr>
      <w:r>
        <w:t>3. Override Behavior</w:t>
      </w:r>
    </w:p>
    <w:p>
      <w:r>
        <w:t>When an override is activated:</w:t>
        <w:br/>
        <w:t>- the previous capsule logic is superseded</w:t>
        <w:br/>
        <w:t>- UI behavior changes immediately under treaty authority</w:t>
        <w:br/>
        <w:t>- visual state may be updated (e.g., greyed-out, modal block, or redirect)</w:t>
        <w:br/>
        <w:t>- full trace is written to audit log (MaxAudit capsule reference required)</w:t>
      </w:r>
    </w:p>
    <w:p>
      <w:pPr>
        <w:pStyle w:val="Heading1"/>
      </w:pPr>
      <w:r>
        <w:t>4. CTO Summary</w:t>
      </w:r>
    </w:p>
    <w:p>
      <w:r>
        <w:t>This module brings treaty governance directly into the UI layer. It enables controlled overrides of visibility, access, and interaction in response to treaty logic, security violations, or compliance mandates – without embedding UI logic into the rendering system itself.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