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MUX-08: Integration Spec – Framework Bindings</w:t>
      </w:r>
    </w:p>
    <w:p>
      <w:r>
        <w:t>System: MaxUXSuite</w:t>
      </w:r>
    </w:p>
    <w:p>
      <w:r>
        <w:t>Module ID: MUX-08</w:t>
      </w:r>
    </w:p>
    <w:p>
      <w:r>
        <w:t>Version: 1.0</w:t>
      </w:r>
    </w:p>
    <w:p>
      <w:r>
        <w:t>Title: Integration Spec – Framework Bindings</w:t>
      </w:r>
    </w:p>
    <w:p>
      <w:r>
        <w:t>Classification: UI Integration Reference</w:t>
      </w:r>
    </w:p>
    <w:p>
      <w:r>
        <w:t>Responsible: TBYD UI Independence &amp; Interface Team</w:t>
      </w:r>
    </w:p>
    <w:p>
      <w:r>
        <w:t>License Model: TBYD License v2.2 / Audit Addendum A</w:t>
      </w:r>
    </w:p>
    <w:p>
      <w:r>
        <w:t>Standards Reference: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how UI capsules can be referenced, mapped, and evaluated in common frontend frameworks. It ensures MaxUXSuite remains technically neutral and does not enforce any runtime binding.</w:t>
      </w:r>
    </w:p>
    <w:p>
      <w:pPr>
        <w:pStyle w:val="Heading1"/>
      </w:pPr>
      <w:r>
        <w:t>2. Supported Framework Types</w:t>
      </w:r>
    </w:p>
    <w:p>
      <w:r>
        <w:t>- Web (React, Vue, Svelte, Angular)</w:t>
        <w:br/>
        <w:t>- Native Mobile (SwiftUI, Jetpack Compose)</w:t>
        <w:br/>
        <w:t>- Terminal-based UIs (TUI frameworks)</w:t>
        <w:br/>
        <w:t>- Static HTML with capsule-linked JS evaluation</w:t>
      </w:r>
    </w:p>
    <w:p>
      <w:pPr>
        <w:pStyle w:val="Heading1"/>
      </w:pPr>
      <w:r>
        <w:t>3. Capsule Binding Options</w:t>
      </w:r>
    </w:p>
    <w:p>
      <w:r>
        <w:t>- declarative_binding: link capsule to component metadata</w:t>
        <w:br/>
        <w:t>- runtime_annotation: reference capsule ID in component logic</w:t>
        <w:br/>
        <w:t>- visual_trace_hook: capture user interaction via capsule-based listener</w:t>
        <w:br/>
        <w:t>- governance_freeze_hook: UI reactivity to override or treaty enforcement capsule</w:t>
      </w:r>
    </w:p>
    <w:p>
      <w:pPr>
        <w:pStyle w:val="Heading1"/>
      </w:pPr>
      <w:r>
        <w:t>4. Example (React)</w:t>
      </w:r>
    </w:p>
    <w:p>
      <w:r>
        <w:t>&lt;SubmitButton</w:t>
        <w:br/>
        <w:t xml:space="preserve">  capsuleId="CAPSULE-FORM-SUBMIT"</w:t>
        <w:br/>
        <w:t xml:space="preserve">  roleGate="ROLE-APPROVER"</w:t>
        <w:br/>
        <w:t xml:space="preserve">  frozenIf="capsule('CAPSULE-POLICY-LOCK').state === 'active'"</w:t>
        <w:br/>
        <w:t>/&gt;</w:t>
      </w:r>
    </w:p>
    <w:p>
      <w:pPr>
        <w:pStyle w:val="Heading1"/>
      </w:pPr>
      <w:r>
        <w:t>5. CTO Summary</w:t>
      </w:r>
    </w:p>
    <w:p>
      <w:r>
        <w:t>This integration module shows that MaxUXSuite enables audit-aware UI binding without forcing dependency on any framework. Capsule logic remains declarative and external, preserving UI independence and structural neutrality.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