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MJU-06: Role of Judges &amp; Composition Capsule</w:t>
      </w:r>
    </w:p>
    <w:p>
      <w:r>
        <w:t>System: MaxJudicial</w:t>
      </w:r>
    </w:p>
    <w:p>
      <w:r>
        <w:t>Module ID: MJU-06</w:t>
      </w:r>
    </w:p>
    <w:p>
      <w:r>
        <w:t>Version: 1.0</w:t>
      </w:r>
    </w:p>
    <w:p>
      <w:r>
        <w:t>Title: Role of Judges &amp; Composition Capsule</w:t>
      </w:r>
    </w:p>
    <w:p>
      <w:r>
        <w:t>Classification: Governance Role Definition Capsule</w:t>
      </w:r>
    </w:p>
    <w:p>
      <w:r>
        <w:t>Responsible: TBYD Judicial Oversight Committee</w:t>
      </w:r>
    </w:p>
    <w:p>
      <w:r>
        <w:t>License Model: TBYD License v2.2 / Audit Addendum A</w:t>
      </w:r>
    </w:p>
    <w:p>
      <w:r>
        <w:t>Standards Reference: ISO/IEC 38500,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governance structure and capsule logic for appointing, rotating, or challenging judges in MaxJudicial procedures. It ensures fair composition and traceable legitimacy in all decision panels.</w:t>
      </w:r>
    </w:p>
    <w:p>
      <w:pPr>
        <w:pStyle w:val="Heading1"/>
      </w:pPr>
      <w:r>
        <w:t>2. Capsule Fields</w:t>
      </w:r>
    </w:p>
    <w:p>
      <w:r>
        <w:t>- capsule_id: judge composition capsule ID</w:t>
        <w:br/>
        <w:t>- procedure_reference: linked judicial capsule</w:t>
        <w:br/>
        <w:t>- panel_members: list of role or capsule references with judge authority</w:t>
        <w:br/>
        <w:t>- assignment_method: ENUM { random_rotation, predefined_pool, role_vote, OSS-contribution-based }</w:t>
        <w:br/>
        <w:t>- recusal_mechanism: ENUM { manual, automated-conflict, treaty-triggered }</w:t>
        <w:br/>
        <w:t>- eligibility_criteria: reference to treaty clause or maxworkroles policy capsule</w:t>
        <w:br/>
        <w:t>- rotation_schedule: optional – ISO date pattern or trigger capsule</w:t>
        <w:br/>
        <w:t>- challenge_path: capsule reference for contesting panel member</w:t>
      </w:r>
    </w:p>
    <w:p>
      <w:pPr>
        <w:pStyle w:val="Heading1"/>
      </w:pPr>
      <w:r>
        <w:t>3. Use Case Example</w:t>
      </w:r>
    </w:p>
    <w:p>
      <w:r>
        <w:t>assignment_method: role_vote</w:t>
        <w:br/>
        <w:t>panel_members: ['JUDGE-CAPSULE-001', 'JUDGE-CAPSULE-005']</w:t>
        <w:br/>
        <w:t>recusal_mechanism: treaty-triggered</w:t>
        <w:br/>
        <w:t>eligibility_criteria: 'TREATY-CAPSULE-5.2'</w:t>
        <w:br/>
        <w:t>rotation_schedule: yearly</w:t>
      </w:r>
    </w:p>
    <w:p>
      <w:pPr>
        <w:pStyle w:val="Heading1"/>
      </w:pPr>
      <w:r>
        <w:t>4. CTO Summary</w:t>
      </w:r>
    </w:p>
    <w:p>
      <w:r>
        <w:t>Judge composition becomes traceable, neutral, and structurally reproducible. This capsule ensures auditability of all governance actors responsible for issuing verdicts — and integrates procedural safeguards for legitimacy and fairness.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