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MaxBridge v1.2 – Supplement: CRS Capsule Markdown Examples</w:t>
      </w:r>
    </w:p>
    <w:p>
      <w:r>
        <w:t>Module Title: Markdown Examples for CRS-Compatible Capsules</w:t>
      </w:r>
    </w:p>
    <w:p>
      <w:r>
        <w:t>Version: 1.2</w:t>
      </w:r>
    </w:p>
    <w:p>
      <w:r>
        <w:t>Document Type: Supplementary Material</w:t>
      </w:r>
    </w:p>
    <w:p>
      <w:r>
        <w:t>License: TBYD License v2.2 + Addendum A (Preview Right Only)</w:t>
      </w:r>
    </w:p>
    <w:p>
      <w:r>
        <w:t>Subsystem: MaxBridge (CRS Capsule Layer)</w:t>
      </w:r>
    </w:p>
    <w:p>
      <w:r>
        <w:t>Release Context: Part of MaxOneOpen v4.1 ecosystem – standalone deployable</w:t>
      </w:r>
    </w:p>
    <w:p>
      <w:r>
        <w:t>Status: CTO-aligned – verified input structure</w:t>
      </w:r>
    </w:p>
    <w:p>
      <w:r>
        <w:br w:type="page"/>
      </w:r>
    </w:p>
    <w:p>
      <w:pPr>
        <w:pStyle w:val="Heading1"/>
      </w:pPr>
      <w:r>
        <w:t>1. Purpose</w:t>
      </w:r>
    </w:p>
    <w:p>
      <w:r>
        <w:t>This document provides Markdown-based examples of CRS capsules formatted for traceable input submission and documentation. Markdown files can be converted into capsule YAML or JSON through the MaxBridge PolicyConverter or Template API.</w:t>
      </w:r>
    </w:p>
    <w:p>
      <w:pPr>
        <w:pStyle w:val="Heading1"/>
      </w:pPr>
      <w:r>
        <w:t>2. Markdown Structure</w:t>
      </w:r>
    </w:p>
    <w:p>
      <w:r>
        <w:t>Each example must begin with a triple-backtick block containing YAML format:</w:t>
      </w:r>
    </w:p>
    <w:p>
      <w:r>
        <w:t>```yaml</w:t>
        <w:br/>
        <w:t># Capsule ID: stack-role-write-007</w:t>
        <w:br/>
        <w:t>manifest:</w:t>
        <w:br/>
        <w:t xml:space="preserve">  capsule_class: enforce</w:t>
        <w:br/>
        <w:t xml:space="preserve">  policy_scope: access-rights</w:t>
        <w:br/>
        <w:t xml:space="preserve">  jurisdiction: treaty-global-alpha</w:t>
        <w:br/>
        <w:t>input:</w:t>
        <w:br/>
        <w:t xml:space="preserve">  user:</w:t>
        <w:br/>
        <w:t xml:space="preserve">    role: editor</w:t>
        <w:br/>
        <w:t xml:space="preserve">  request:</w:t>
        <w:br/>
        <w:t xml:space="preserve">    type: access</w:t>
        <w:br/>
        <w:t xml:space="preserve">    level: write</w:t>
        <w:br/>
        <w:t>```</w:t>
        <w:br/>
      </w:r>
    </w:p>
    <w:p>
      <w:r>
        <w:t>Followed by any explanatory content or notes in Markdown format.</w:t>
      </w:r>
    </w:p>
    <w:p>
      <w:pPr>
        <w:pStyle w:val="Heading1"/>
      </w:pPr>
      <w:r>
        <w:t>3. Example Capsule 1: Role-Write Capsule</w:t>
      </w:r>
    </w:p>
    <w:p>
      <w:r>
        <w:t>```yaml</w:t>
        <w:br/>
        <w:t>manifest:</w:t>
        <w:br/>
        <w:t xml:space="preserve">  capsule_id: write-policy-001</w:t>
        <w:br/>
        <w:t xml:space="preserve">  policy_scope: write-roles</w:t>
        <w:br/>
        <w:t xml:space="preserve">  capsule_class: enforce</w:t>
        <w:br/>
        <w:t xml:space="preserve">  jurisdiction: treaty-eu2025</w:t>
        <w:br/>
        <w:t>input:</w:t>
        <w:br/>
        <w:t xml:space="preserve">  user:</w:t>
        <w:br/>
        <w:t xml:space="preserve">    role: editor</w:t>
        <w:br/>
        <w:t xml:space="preserve">  request:</w:t>
        <w:br/>
        <w:t xml:space="preserve">    type: write</w:t>
        <w:br/>
        <w:t xml:space="preserve">    resource: vaultX</w:t>
        <w:br/>
        <w:t>```</w:t>
      </w:r>
    </w:p>
    <w:p>
      <w:r>
        <w:t>This capsule enables `write` access only to editors within the specified treaty scope.</w:t>
      </w:r>
    </w:p>
    <w:p>
      <w:pPr>
        <w:pStyle w:val="Heading1"/>
      </w:pPr>
      <w:r>
        <w:t>4. Example Capsule 2: Region-Restricted Access</w:t>
      </w:r>
    </w:p>
    <w:p>
      <w:r>
        <w:t>```yaml</w:t>
        <w:br/>
        <w:t>manifest:</w:t>
        <w:br/>
        <w:t xml:space="preserve">  capsule_id: region-policy-007</w:t>
        <w:br/>
        <w:t xml:space="preserve">  policy_scope: region-access</w:t>
        <w:br/>
        <w:t xml:space="preserve">  capsule_class: enforce</w:t>
        <w:br/>
        <w:t xml:space="preserve">  jurisdiction: local-de-clear</w:t>
        <w:br/>
        <w:t>input:</w:t>
        <w:br/>
        <w:t xml:space="preserve">  user:</w:t>
        <w:br/>
        <w:t xml:space="preserve">    region: EU</w:t>
        <w:br/>
        <w:t xml:space="preserve">  request:</w:t>
        <w:br/>
        <w:t xml:space="preserve">    resource: archive-main</w:t>
        <w:br/>
        <w:t xml:space="preserve">    type: access</w:t>
        <w:br/>
        <w:t>```</w:t>
      </w:r>
    </w:p>
    <w:p>
      <w:pPr>
        <w:pStyle w:val="Heading1"/>
      </w:pPr>
      <w:r>
        <w:t>5. Exporting Markdown Capsules</w:t>
      </w:r>
    </w:p>
    <w:p>
      <w:r>
        <w:t>Markdown-formatted capsules may be exported into YAML via MaxBridge converters, preserving comments, structure, and traceability. Each exported object includes a hash fingerprint for audit inclusion.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