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MaxBridge v1.2 – System Module 06</w:t>
      </w:r>
    </w:p>
    <w:p>
      <w:r>
        <w:t>Module Title: Licensing, Activation &amp; Compliance Layer</w:t>
      </w:r>
    </w:p>
    <w:p>
      <w:r>
        <w:t>Version: 1.2</w:t>
      </w:r>
    </w:p>
    <w:p>
      <w:r>
        <w:t>Document Type: System Core Module</w:t>
      </w:r>
    </w:p>
    <w:p>
      <w:r>
        <w:t>License: TBYD License v2.2 + Addendum A (Preview Right Only)</w:t>
      </w:r>
    </w:p>
    <w:p>
      <w:r>
        <w:t>Subsystem: MaxBridge (Compatibility &amp; Control Layer)</w:t>
      </w:r>
    </w:p>
    <w:p>
      <w:r>
        <w:t>Release Context: Part of MaxOneOpen v4.1 ecosystem – standalone deployable</w:t>
      </w:r>
    </w:p>
    <w:p>
      <w:r>
        <w:t>Status: CTO-aligned – certified structure</w:t>
      </w:r>
    </w:p>
    <w:p>
      <w:r>
        <w:br w:type="page"/>
      </w:r>
    </w:p>
    <w:p>
      <w:pPr>
        <w:pStyle w:val="Heading1"/>
      </w:pPr>
      <w:r>
        <w:t>1. Purpose</w:t>
      </w:r>
    </w:p>
    <w:p>
      <w:r>
        <w:t>This module defines the licensing requirements, activation logic, and compliance conditions that govern the deployment and use of MaxBridge. It ensures that no instance can be operational without valid license declaration and enforcement mechanisms.</w:t>
      </w:r>
    </w:p>
    <w:p>
      <w:pPr>
        <w:pStyle w:val="Heading1"/>
      </w:pPr>
      <w:r>
        <w:t>2. Licensing Model</w:t>
      </w:r>
    </w:p>
    <w:p>
      <w:r>
        <w:t>MaxBridge is governed by the following license structure:</w:t>
      </w:r>
    </w:p>
    <w:p>
      <w:pPr>
        <w:pStyle w:val="ListBullet"/>
      </w:pPr>
      <w:r>
        <w:t>- **Core License**: TBYD License v2.2 (full operational license)</w:t>
      </w:r>
    </w:p>
    <w:p>
      <w:pPr>
        <w:pStyle w:val="ListBullet"/>
      </w:pPr>
      <w:r>
        <w:t>- **Preview License**: Addendum A – read-only audit, no deployment</w:t>
      </w:r>
    </w:p>
    <w:p>
      <w:pPr>
        <w:pStyle w:val="ListBullet"/>
      </w:pPr>
      <w:r>
        <w:t>- **Class Designation**: Class B (standard protection fee applies)</w:t>
      </w:r>
    </w:p>
    <w:p>
      <w:pPr>
        <w:pStyle w:val="Heading1"/>
      </w:pPr>
      <w:r>
        <w:t>3. Activation Requirements</w:t>
      </w:r>
    </w:p>
    <w:p>
      <w:r>
        <w:t>Every deployment of MaxBridge requires explicit license activation. Activation includes declaration of runtime environment, public key binding, deployment hash, and signed compliance statement.</w:t>
      </w:r>
    </w:p>
    <w:p>
      <w:pPr>
        <w:pStyle w:val="Heading1"/>
      </w:pPr>
      <w:r>
        <w:t>4. Compliance Layer</w:t>
      </w:r>
    </w:p>
    <w:p>
      <w:r>
        <w:t>MaxBridge instances must contain an embedded compliance module that enforces usage restrictions, fork detection, and audit capabilities. All runtime operations are subject to real-time license enforcement and breach signaling if license deviation occurs.</w:t>
      </w:r>
    </w:p>
    <w:p>
      <w:pPr>
        <w:pStyle w:val="Heading1"/>
      </w:pPr>
      <w:r>
        <w:t>5. Licensing Events &amp; Fork Control</w:t>
      </w:r>
    </w:p>
    <w:p>
      <w:r>
        <w:t>If a capsule or action attempts to fork or replicate MaxBridge logic outside of licensed bounds, it is intercepted and rejected. MaxReg enforces rule rejection and MaxAudit may record the attempted violation. Forks are only permitted with explicit reference capsule and verified continuation license.</w:t>
      </w:r>
    </w:p>
    <w:p>
      <w:pPr>
        <w:pStyle w:val="Heading1"/>
      </w:pPr>
      <w:r>
        <w:t>6. Public Disclosure &amp; Audit Certification</w:t>
      </w:r>
    </w:p>
    <w:p>
      <w:r>
        <w:t>Each license-bearing instance may optionally submit to public audit verification. This results in a signed certificate, IATL inclusion, and proof of conformance to governance policies. Disclosed deployments receive enhanced validation status in distributed trust registries.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