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Module 10 – Anonymous Routing &amp; Mesh Integrity Control</w:t>
      </w:r>
    </w:p>
    <w:p>
      <w:r>
        <w:t>Module ID: COMM-MESH-010</w:t>
      </w:r>
    </w:p>
    <w:p>
      <w:r>
        <w:t>Version: 4.1 (Revised CTO Edition)</w:t>
      </w:r>
    </w:p>
    <w:p>
      <w:r>
        <w:t>Layer: Communication Control Layer</w:t>
      </w:r>
    </w:p>
    <w:p>
      <w:r>
        <w:t>Status: RELEASE</w:t>
      </w:r>
    </w:p>
    <w:p>
      <w:r>
        <w:t>Dependencies: Module 00, Module 09</w:t>
      </w:r>
    </w:p>
    <w:p>
      <w:pPr>
        <w:pStyle w:val="Heading2"/>
      </w:pPr>
      <w:r>
        <w:t>0. Purpose &amp; Enforcement Point</w:t>
      </w:r>
    </w:p>
    <w:p>
      <w:r>
        <w:t>This module defines the anonymized routing and mesh communication integrity enforcement layer for MaxOneOpen v4.1. It ensures that all messages are transmitted across a validated node mesh without exposing identity paths or allowing pattern-based deanonymization. Routing is capsule-controlled, TTL-limited, and trust-filtered across all hops.</w:t>
      </w:r>
    </w:p>
    <w:p>
      <w:pPr>
        <w:pStyle w:val="Heading2"/>
      </w:pPr>
      <w:r>
        <w:t>1. Routing Structure, Hop Control &amp; Invocation Flow</w:t>
      </w:r>
    </w:p>
    <w:p>
      <w:r>
        <w:t>Anonymous routing is invoked using `MESH_ROUTE_SEND()` which accepts:</w:t>
        <w:br/>
        <w:t>- `from_identity_token`</w:t>
        <w:br/>
        <w:t>- `target_service_id`</w:t>
        <w:br/>
        <w:t>- `payload`, `scope_class`, `TTL`, `relay_options`</w:t>
        <w:br/>
        <w:t>Routing is handled by the Mesh Relay Engine (MRE), which:</w:t>
        <w:br/>
        <w:t>- selects relay path based on trust zone separation</w:t>
        <w:br/>
        <w:t>- applies time decay and integrity checks at each hop</w:t>
        <w:br/>
        <w:t>- obfuscates previous hop using randomized capsule header chains</w:t>
      </w:r>
    </w:p>
    <w:p>
      <w:pPr>
        <w:pStyle w:val="Heading2"/>
      </w:pPr>
      <w:r>
        <w:t>2. Mesh Capsule Format, Integrity Anchors &amp; TTL Control</w:t>
      </w:r>
    </w:p>
    <w:p>
      <w:r>
        <w:t>Each routed message is encapsulated in a `Mesh Capsule (MCAP)`:</w:t>
        <w:br/>
        <w:t>`{ capsule_id, current_hop_id, TTL_remaining, scope_class, payload_hash, previous_hop_mask, timestamp }`</w:t>
        <w:br/>
        <w:t>Each hop produces a `Hop Trace Capsule (HTC)` documenting validation and trust passage.</w:t>
        <w:br/>
        <w:t>Capsule chains are anchored into the LedgerSync chain for full traceability and tamper detection.</w:t>
      </w:r>
    </w:p>
    <w:p>
      <w:pPr>
        <w:pStyle w:val="Heading2"/>
      </w:pPr>
      <w:r>
        <w:t>3. Anti-Deanonymization Safeguards &amp; Trust Filtering</w:t>
      </w:r>
    </w:p>
    <w:p>
      <w:r>
        <w:t>To preserve communication anonymity and trust alignment:</w:t>
        <w:br/>
        <w:t>- origin identity is never exposed in capsule header</w:t>
        <w:br/>
        <w:t>- routing patterns are randomized within permitted mesh zones</w:t>
        <w:br/>
        <w:t>- trust zones (0–5) define permissible hop scope</w:t>
        <w:br/>
        <w:t>- rule filters (from Module 04) define relay exclusion zones</w:t>
        <w:br/>
        <w:t>- message TTL ensures bounded propagation and replay rejection</w:t>
      </w:r>
    </w:p>
    <w:p>
      <w:pPr>
        <w:pStyle w:val="Heading2"/>
      </w:pPr>
      <w:r>
        <w:t>4. Violation Triggers, Replay Defense &amp; Forensic Records</w:t>
      </w:r>
    </w:p>
    <w:p>
      <w:r>
        <w:t>Routing violations include:</w:t>
        <w:br/>
        <w:t>- TTL exhaustion → `TTL Violation Capsule (TVC)`</w:t>
        <w:br/>
        <w:t>- trust zone crossing without authority → `Trust Breach Capsule (TBC)`</w:t>
        <w:br/>
        <w:t>- header tampering → `Mesh Integrity Violation Capsule (MIVC)`</w:t>
        <w:br/>
        <w:t>All forensic records are capsule-bound and traceable to the initiating Mesh Capsule ID.</w:t>
      </w:r>
    </w:p>
    <w:p>
      <w:pPr>
        <w:pStyle w:val="Heading2"/>
      </w:pPr>
      <w:r>
        <w:t>5. Intermodular Bindings &amp; Routing Enforcement Chain</w:t>
      </w:r>
    </w:p>
    <w:p>
      <w:r>
        <w:t>This module interacts with:</w:t>
        <w:br/>
        <w:t>- Module 09 (Twin Messaging) as pre-routing gate</w:t>
        <w:br/>
        <w:t>- Module 04 (MaxReg) to apply routing rules</w:t>
        <w:br/>
        <w:t>- Module 12 (Trust Enforcement) to constrain hop eligibility</w:t>
        <w:br/>
        <w:t>- Module 13 (LedgerSync) for route chain anchoring</w:t>
        <w:br/>
        <w:t>- Module 14 (Audit) to reconstruct and validate route integrity</w:t>
      </w:r>
    </w:p>
    <w:p>
      <w:pPr>
        <w:pStyle w:val="Heading2"/>
      </w:pPr>
      <w:r>
        <w:t>CTO Validation Matrix</w:t>
      </w:r>
    </w:p>
    <w:p>
      <w:r>
        <w:t>Module 10 (CTO Edition) guarantees the following verifiable conditions:</w:t>
        <w:br/>
        <w:t>- All routed messages are encapsulated in anonymous mesh capsules: YES</w:t>
        <w:br/>
        <w:t>- Hop chains are trust-filtered, TTL-bound, and integrity-anchored: YES</w:t>
        <w:br/>
        <w:t>- Mesh routing patterns are obfuscated and randomized: YES</w:t>
        <w:br/>
        <w:t>- Violations (TTL, trust breach, tampering) trigger capsule audits: YES</w:t>
        <w:br/>
        <w:t>- Route history is cryptographically traceable and forensically complete: YES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