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CTO Export Report – MaxOneOpen v4.1 (TBYD Final Capsule Set)</w:t>
      </w:r>
    </w:p>
    <w:p>
      <w:pPr>
        <w:spacing w:after="120"/>
      </w:pPr>
      <w:r>
        <w:rPr>
          <w:b w:val="0"/>
          <w:i w:val="0"/>
        </w:rPr>
        <w:t>Classification: Internal / TBYD-Certified Reference Record</w:t>
        <w:br/>
        <w:t>Purpose: Verifies full 100/100 compliance including the complete final module set and capsule-governed add-on matrix.</w:t>
      </w:r>
    </w:p>
    <w:p>
      <w:pPr>
        <w:spacing w:before="240"/>
      </w:pPr>
      <w:r>
        <w:rPr>
          <w:b/>
          <w:sz w:val="22"/>
        </w:rPr>
        <w:t>1. Purpose of This Document</w:t>
      </w:r>
    </w:p>
    <w:p>
      <w:pPr>
        <w:spacing w:after="120"/>
      </w:pPr>
      <w:r>
        <w:rPr>
          <w:b w:val="0"/>
          <w:i w:val="0"/>
        </w:rPr>
        <w:t>This report certifies the structural, operational, and strategic completeness of MaxOneOpen v4.1 based on the TBYD 100/100 compliance standard. It includes all CTO-relevant modules and integration components, validated for capsule logic, audit readiness, governance enforcement, and deployment resilience.</w:t>
      </w:r>
    </w:p>
    <w:p>
      <w:pPr>
        <w:spacing w:before="240"/>
      </w:pPr>
      <w:r>
        <w:rPr>
          <w:b/>
          <w:sz w:val="22"/>
        </w:rPr>
        <w:t>2. CTO-Critical Modules (Complete Set: Modules 1–27)</w:t>
      </w:r>
    </w:p>
    <w:p>
      <w:pPr>
        <w:spacing w:after="120"/>
      </w:pPr>
      <w:r>
        <w:rPr>
          <w:b w:val="0"/>
          <w:i w:val="0"/>
        </w:rPr>
        <w:t>- Modules 01–22: Simulation, ledger, audit, governance, license, UI overlay, and federation logic.</w:t>
      </w:r>
    </w:p>
    <w:p>
      <w:pPr>
        <w:spacing w:after="120"/>
      </w:pPr>
      <w:r>
        <w:rPr>
          <w:b w:val="0"/>
          <w:i w:val="0"/>
        </w:rPr>
        <w:t>- Module 23 – Privacy &amp; Sovereign Data Control Capsule</w:t>
      </w:r>
    </w:p>
    <w:p>
      <w:pPr>
        <w:spacing w:after="120"/>
      </w:pPr>
      <w:r>
        <w:rPr>
          <w:b w:val="0"/>
          <w:i w:val="0"/>
        </w:rPr>
        <w:t>- Module 24 – Operational Deployment &amp; CI/CD Capsule</w:t>
      </w:r>
    </w:p>
    <w:p>
      <w:pPr>
        <w:spacing w:after="120"/>
      </w:pPr>
      <w:r>
        <w:rPr>
          <w:b w:val="0"/>
          <w:i w:val="0"/>
        </w:rPr>
        <w:t>- Module 25 – Fork Arbitration &amp; Governance Escalation Capsule</w:t>
      </w:r>
    </w:p>
    <w:p>
      <w:pPr>
        <w:spacing w:after="120"/>
      </w:pPr>
      <w:r>
        <w:rPr>
          <w:b w:val="0"/>
          <w:i w:val="0"/>
        </w:rPr>
        <w:t>- Module 26 – Migration &amp; Transition Planning Capsule</w:t>
      </w:r>
    </w:p>
    <w:p>
      <w:pPr>
        <w:spacing w:after="120"/>
      </w:pPr>
      <w:r>
        <w:rPr>
          <w:b w:val="0"/>
          <w:i w:val="0"/>
        </w:rPr>
        <w:t>- Module 27 – Predictive Governance &amp; AI Capsule</w:t>
      </w:r>
    </w:p>
    <w:p>
      <w:pPr>
        <w:spacing w:before="240"/>
      </w:pPr>
      <w:r>
        <w:rPr>
          <w:b/>
          <w:sz w:val="22"/>
        </w:rPr>
        <w:t>3. Certification Basis (TBYD Enforcement Model)</w:t>
      </w:r>
    </w:p>
    <w:p>
      <w:pPr>
        <w:spacing w:after="120"/>
      </w:pPr>
      <w:r>
        <w:rPr>
          <w:b w:val="0"/>
          <w:i w:val="0"/>
        </w:rPr>
        <w:t>- Capsule auditability: All flows traceable, reversible, and structurally logged.</w:t>
      </w:r>
    </w:p>
    <w:p>
      <w:pPr>
        <w:spacing w:after="120"/>
      </w:pPr>
      <w:r>
        <w:rPr>
          <w:b w:val="0"/>
          <w:i w:val="0"/>
        </w:rPr>
        <w:t>- Runtime compliance: Privacy, license, rollback, AI controls, and capsule simulation verified.</w:t>
      </w:r>
    </w:p>
    <w:p>
      <w:pPr>
        <w:spacing w:after="120"/>
      </w:pPr>
      <w:r>
        <w:rPr>
          <w:b w:val="0"/>
          <w:i w:val="0"/>
        </w:rPr>
        <w:t>- Operational control: CI/CD gates, deployment snapshots, rollback recovery enabled.</w:t>
      </w:r>
    </w:p>
    <w:p>
      <w:pPr>
        <w:spacing w:after="120"/>
      </w:pPr>
      <w:r>
        <w:rPr>
          <w:b w:val="0"/>
          <w:i w:val="0"/>
        </w:rPr>
        <w:t>- Sovereign governance: Forks and deviations structurally locked and quorum-auditable.</w:t>
      </w:r>
    </w:p>
    <w:p>
      <w:pPr>
        <w:spacing w:before="240"/>
      </w:pPr>
      <w:r>
        <w:rPr>
          <w:b/>
          <w:sz w:val="22"/>
        </w:rPr>
        <w:t>4. Add-on Declaration Logic</w:t>
      </w:r>
    </w:p>
    <w:p>
      <w:pPr>
        <w:spacing w:after="120"/>
      </w:pPr>
      <w:r>
        <w:rPr>
          <w:b w:val="0"/>
          <w:i w:val="0"/>
        </w:rPr>
        <w:t>All MaxOneOpen add-ons follow capsule logic but are not required for runtime certification. They enhance system functionality in specific domains (e.g., audit, compatibility, usability), but the core 100/100 compliance is fully achieved without any of them.</w:t>
      </w:r>
    </w:p>
    <w:p>
      <w:r>
        <w:br w:type="page"/>
      </w:r>
    </w:p>
    <w:p>
      <w:pPr>
        <w:pStyle w:val="Heading2"/>
      </w:pPr>
      <w:r>
        <w:t>Appendix A – Capsule-Governed Add-on Compatibility Matrix (TBYD)</w:t>
      </w:r>
    </w:p>
    <w:p>
      <w:pPr>
        <w:spacing w:after="120"/>
      </w:pPr>
      <w:r>
        <w:rPr>
          <w:b w:val="0"/>
          <w:i w:val="0"/>
        </w:rPr>
        <w:t>The following table documents all officially declared MaxOneOpen add-ons. Each follows capsule logic and is structurally decoupled from core runtime compliance. They are optional and auditable by design.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Module</w:t>
            </w:r>
          </w:p>
        </w:tc>
        <w:tc>
          <w:tcPr>
            <w:tcW w:type="dxa" w:w="2160"/>
          </w:tcPr>
          <w:p>
            <w:r>
              <w:t>Functional Layer</w:t>
            </w:r>
          </w:p>
        </w:tc>
        <w:tc>
          <w:tcPr>
            <w:tcW w:type="dxa" w:w="2160"/>
          </w:tcPr>
          <w:p>
            <w:r>
              <w:t>Status</w:t>
            </w:r>
          </w:p>
        </w:tc>
        <w:tc>
          <w:tcPr>
            <w:tcW w:type="dxa" w:w="2160"/>
          </w:tcPr>
          <w:p>
            <w:r>
              <w:t>Core Benefit for Open Source</w:t>
            </w:r>
          </w:p>
        </w:tc>
      </w:tr>
      <w:tr>
        <w:tc>
          <w:tcPr>
            <w:tcW w:type="dxa" w:w="2160"/>
          </w:tcPr>
          <w:p>
            <w:r>
              <w:t>MaxAudit</w:t>
            </w:r>
          </w:p>
        </w:tc>
        <w:tc>
          <w:tcPr>
            <w:tcW w:type="dxa" w:w="2160"/>
          </w:tcPr>
          <w:p>
            <w:r>
              <w:t>Governance</w:t>
            </w:r>
          </w:p>
        </w:tc>
        <w:tc>
          <w:tcPr>
            <w:tcW w:type="dxa" w:w="2160"/>
          </w:tcPr>
          <w:p>
            <w:r>
              <w:t>Live</w:t>
            </w:r>
          </w:p>
        </w:tc>
        <w:tc>
          <w:tcPr>
            <w:tcW w:type="dxa" w:w="2160"/>
          </w:tcPr>
          <w:p>
            <w:r>
              <w:t>Verifiable rule auditing &amp; public trust signals</w:t>
            </w:r>
          </w:p>
        </w:tc>
      </w:tr>
      <w:tr>
        <w:tc>
          <w:tcPr>
            <w:tcW w:type="dxa" w:w="2160"/>
          </w:tcPr>
          <w:p>
            <w:r>
              <w:t>MaxReg</w:t>
            </w:r>
          </w:p>
        </w:tc>
        <w:tc>
          <w:tcPr>
            <w:tcW w:type="dxa" w:w="2160"/>
          </w:tcPr>
          <w:p>
            <w:r>
              <w:t>Governance</w:t>
            </w:r>
          </w:p>
        </w:tc>
        <w:tc>
          <w:tcPr>
            <w:tcW w:type="dxa" w:w="2160"/>
          </w:tcPr>
          <w:p>
            <w:r>
              <w:t>Live</w:t>
            </w:r>
          </w:p>
        </w:tc>
        <w:tc>
          <w:tcPr>
            <w:tcW w:type="dxa" w:w="2160"/>
          </w:tcPr>
          <w:p>
            <w:r>
              <w:t>Declarative rule profiles &amp; cross-project comparability</w:t>
            </w:r>
          </w:p>
        </w:tc>
      </w:tr>
      <w:tr>
        <w:tc>
          <w:tcPr>
            <w:tcW w:type="dxa" w:w="2160"/>
          </w:tcPr>
          <w:p>
            <w:r>
              <w:t>MaxTune</w:t>
            </w:r>
          </w:p>
        </w:tc>
        <w:tc>
          <w:tcPr>
            <w:tcW w:type="dxa" w:w="2160"/>
          </w:tcPr>
          <w:p>
            <w:r>
              <w:t>Governance</w:t>
            </w:r>
          </w:p>
        </w:tc>
        <w:tc>
          <w:tcPr>
            <w:tcW w:type="dxa" w:w="2160"/>
          </w:tcPr>
          <w:p>
            <w:r>
              <w:t>Live</w:t>
            </w:r>
          </w:p>
        </w:tc>
        <w:tc>
          <w:tcPr>
            <w:tcW w:type="dxa" w:w="2160"/>
          </w:tcPr>
          <w:p>
            <w:r>
              <w:t>Technical consistency and system integrity verification</w:t>
            </w:r>
          </w:p>
        </w:tc>
      </w:tr>
      <w:tr>
        <w:tc>
          <w:tcPr>
            <w:tcW w:type="dxa" w:w="2160"/>
          </w:tcPr>
          <w:p>
            <w:r>
              <w:t>SDG</w:t>
            </w:r>
          </w:p>
        </w:tc>
        <w:tc>
          <w:tcPr>
            <w:tcW w:type="dxa" w:w="2160"/>
          </w:tcPr>
          <w:p>
            <w:r>
              <w:t>Governance</w:t>
            </w:r>
          </w:p>
        </w:tc>
        <w:tc>
          <w:tcPr>
            <w:tcW w:type="dxa" w:w="2160"/>
          </w:tcPr>
          <w:p>
            <w:r>
              <w:t>Live</w:t>
            </w:r>
          </w:p>
        </w:tc>
        <w:tc>
          <w:tcPr>
            <w:tcW w:type="dxa" w:w="2160"/>
          </w:tcPr>
          <w:p>
            <w:r>
              <w:t>Structural ethical/legal bounding layer</w:t>
            </w:r>
          </w:p>
        </w:tc>
      </w:tr>
      <w:tr>
        <w:tc>
          <w:tcPr>
            <w:tcW w:type="dxa" w:w="2160"/>
          </w:tcPr>
          <w:p>
            <w:r>
              <w:t>MaxSuite</w:t>
            </w:r>
          </w:p>
        </w:tc>
        <w:tc>
          <w:tcPr>
            <w:tcW w:type="dxa" w:w="2160"/>
          </w:tcPr>
          <w:p>
            <w:r>
              <w:t>Application Integration</w:t>
            </w:r>
          </w:p>
        </w:tc>
        <w:tc>
          <w:tcPr>
            <w:tcW w:type="dxa" w:w="2160"/>
          </w:tcPr>
          <w:p>
            <w:r>
              <w:t>Planned</w:t>
            </w:r>
          </w:p>
        </w:tc>
        <w:tc>
          <w:tcPr>
            <w:tcW w:type="dxa" w:w="2160"/>
          </w:tcPr>
          <w:p>
            <w:r>
              <w:t>Controlled OSS app containerization (LibreOffice, Jitsi)</w:t>
            </w:r>
          </w:p>
        </w:tc>
      </w:tr>
      <w:tr>
        <w:tc>
          <w:tcPr>
            <w:tcW w:type="dxa" w:w="2160"/>
          </w:tcPr>
          <w:p>
            <w:r>
              <w:t>MaxWorkRoles</w:t>
            </w:r>
          </w:p>
        </w:tc>
        <w:tc>
          <w:tcPr>
            <w:tcW w:type="dxa" w:w="2160"/>
          </w:tcPr>
          <w:p>
            <w:r>
              <w:t>Execution Logic</w:t>
            </w:r>
          </w:p>
        </w:tc>
        <w:tc>
          <w:tcPr>
            <w:tcW w:type="dxa" w:w="2160"/>
          </w:tcPr>
          <w:p>
            <w:r>
              <w:t>Planned</w:t>
            </w:r>
          </w:p>
        </w:tc>
        <w:tc>
          <w:tcPr>
            <w:tcW w:type="dxa" w:w="2160"/>
          </w:tcPr>
          <w:p>
            <w:r>
              <w:t>Role- and rights-based access &amp; workflow delegation</w:t>
            </w:r>
          </w:p>
        </w:tc>
      </w:tr>
      <w:tr>
        <w:tc>
          <w:tcPr>
            <w:tcW w:type="dxa" w:w="2160"/>
          </w:tcPr>
          <w:p>
            <w:r>
              <w:t>MaxProcess</w:t>
            </w:r>
          </w:p>
        </w:tc>
        <w:tc>
          <w:tcPr>
            <w:tcW w:type="dxa" w:w="2160"/>
          </w:tcPr>
          <w:p>
            <w:r>
              <w:t>Organizational Logic</w:t>
            </w:r>
          </w:p>
        </w:tc>
        <w:tc>
          <w:tcPr>
            <w:tcW w:type="dxa" w:w="2160"/>
          </w:tcPr>
          <w:p>
            <w:r>
              <w:t>Planned</w:t>
            </w:r>
          </w:p>
        </w:tc>
        <w:tc>
          <w:tcPr>
            <w:tcW w:type="dxa" w:w="2160"/>
          </w:tcPr>
          <w:p>
            <w:r>
              <w:t>Forms, approvals, flow control</w:t>
            </w:r>
          </w:p>
        </w:tc>
      </w:tr>
      <w:tr>
        <w:tc>
          <w:tcPr>
            <w:tcW w:type="dxa" w:w="2160"/>
          </w:tcPr>
          <w:p>
            <w:r>
              <w:t>MaxBridge</w:t>
            </w:r>
          </w:p>
        </w:tc>
        <w:tc>
          <w:tcPr>
            <w:tcW w:type="dxa" w:w="2160"/>
          </w:tcPr>
          <w:p>
            <w:r>
              <w:t>Compatibility Layer</w:t>
            </w:r>
          </w:p>
        </w:tc>
        <w:tc>
          <w:tcPr>
            <w:tcW w:type="dxa" w:w="2160"/>
          </w:tcPr>
          <w:p>
            <w:r>
              <w:t>Planned</w:t>
            </w:r>
          </w:p>
        </w:tc>
        <w:tc>
          <w:tcPr>
            <w:tcW w:type="dxa" w:w="2160"/>
          </w:tcPr>
          <w:p>
            <w:r>
              <w:t>Proxy for non-sovereign systems (e.g. M365, Zoom)</w:t>
            </w:r>
          </w:p>
        </w:tc>
      </w:tr>
      <w:tr>
        <w:tc>
          <w:tcPr>
            <w:tcW w:type="dxa" w:w="2160"/>
          </w:tcPr>
          <w:p>
            <w:r>
              <w:t>MaxGovernance</w:t>
            </w:r>
          </w:p>
        </w:tc>
        <w:tc>
          <w:tcPr>
            <w:tcW w:type="dxa" w:w="2160"/>
          </w:tcPr>
          <w:p>
            <w:r>
              <w:t>Structural Trust Control</w:t>
            </w:r>
          </w:p>
        </w:tc>
        <w:tc>
          <w:tcPr>
            <w:tcW w:type="dxa" w:w="2160"/>
          </w:tcPr>
          <w:p>
            <w:r>
              <w:t>Planned</w:t>
            </w:r>
          </w:p>
        </w:tc>
        <w:tc>
          <w:tcPr>
            <w:tcW w:type="dxa" w:w="2160"/>
          </w:tcPr>
          <w:p>
            <w:r>
              <w:t>Fork tracking, license enforcement, origin auditability</w:t>
            </w:r>
          </w:p>
        </w:tc>
      </w:tr>
      <w:tr>
        <w:tc>
          <w:tcPr>
            <w:tcW w:type="dxa" w:w="2160"/>
          </w:tcPr>
          <w:p>
            <w:r>
              <w:t>MaxUXSuite</w:t>
            </w:r>
          </w:p>
        </w:tc>
        <w:tc>
          <w:tcPr>
            <w:tcW w:type="dxa" w:w="2160"/>
          </w:tcPr>
          <w:p>
            <w:r>
              <w:t>Usability Framework</w:t>
            </w:r>
          </w:p>
        </w:tc>
        <w:tc>
          <w:tcPr>
            <w:tcW w:type="dxa" w:w="2160"/>
          </w:tcPr>
          <w:p>
            <w:r>
              <w:t>Planned</w:t>
            </w:r>
          </w:p>
        </w:tc>
        <w:tc>
          <w:tcPr>
            <w:tcW w:type="dxa" w:w="2160"/>
          </w:tcPr>
          <w:p>
            <w:r>
              <w:t>Standardized UI/UX layer for OSS clarity and adoption</w:t>
            </w:r>
          </w:p>
        </w:tc>
      </w:tr>
      <w:tr>
        <w:tc>
          <w:tcPr>
            <w:tcW w:type="dxa" w:w="2160"/>
          </w:tcPr>
          <w:p>
            <w:r>
              <w:t>MaxJudicial</w:t>
            </w:r>
          </w:p>
        </w:tc>
        <w:tc>
          <w:tcPr>
            <w:tcW w:type="dxa" w:w="2160"/>
          </w:tcPr>
          <w:p>
            <w:r>
              <w:t>Legal Visibility Layer</w:t>
            </w:r>
          </w:p>
        </w:tc>
        <w:tc>
          <w:tcPr>
            <w:tcW w:type="dxa" w:w="2160"/>
          </w:tcPr>
          <w:p>
            <w:r>
              <w:t>Planned</w:t>
            </w:r>
          </w:p>
        </w:tc>
        <w:tc>
          <w:tcPr>
            <w:tcW w:type="dxa" w:w="2160"/>
          </w:tcPr>
          <w:p>
            <w:r>
              <w:t>Court-compatible audit proofs &amp; legal reference points</w:t>
            </w:r>
          </w:p>
        </w:tc>
      </w:tr>
      <w:tr>
        <w:tc>
          <w:tcPr>
            <w:tcW w:type="dxa" w:w="2160"/>
          </w:tcPr>
          <w:p>
            <w:r>
              <w:t>MaxDeploy</w:t>
            </w:r>
          </w:p>
        </w:tc>
        <w:tc>
          <w:tcPr>
            <w:tcW w:type="dxa" w:w="2160"/>
          </w:tcPr>
          <w:p>
            <w:r>
              <w:t>Operational Rollout</w:t>
            </w:r>
          </w:p>
        </w:tc>
        <w:tc>
          <w:tcPr>
            <w:tcW w:type="dxa" w:w="2160"/>
          </w:tcPr>
          <w:p>
            <w:r>
              <w:t>Planned</w:t>
            </w:r>
          </w:p>
        </w:tc>
        <w:tc>
          <w:tcPr>
            <w:tcW w:type="dxa" w:w="2160"/>
          </w:tcPr>
          <w:p>
            <w:r>
              <w:t>Reproducible, secure deployments across infrastructures</w:t>
            </w:r>
          </w:p>
        </w:tc>
      </w:tr>
    </w:tbl>
    <w:p>
      <w:r>
        <w:br w:type="page"/>
      </w:r>
    </w:p>
    <w:p>
      <w:pPr>
        <w:pStyle w:val="Heading2"/>
      </w:pPr>
      <w:r>
        <w:t>CTO Compliance Confirmation – TBYD</w:t>
      </w:r>
    </w:p>
    <w:p>
      <w:pPr>
        <w:spacing w:after="120"/>
      </w:pPr>
      <w:r>
        <w:rPr>
          <w:b w:val="0"/>
          <w:i w:val="0"/>
        </w:rPr>
        <w:t>This document confirms that MaxOneOpen v4.1 has been reviewed, validated, and certified under the TBYD 100/100 compliance model. All runtime-critical modules, audit paths, governance capsules, and migration flows are present and enforceable. Optional add-ons are transparently declared and structurally capsule-bound.</w:t>
        <w:br/>
        <w:br/>
        <w:t>Certified by: Designated CTO Reviewer</w:t>
        <w:br/>
        <w:t>Status: ✅ Approved</w:t>
        <w:br/>
        <w:t>Scope: Full Runtime Architecture, Modules 1–27 + Add-on Declaration Layer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