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MUX-14: UX Compliance Model (Governance Layer)</w:t>
      </w:r>
    </w:p>
    <w:p>
      <w:r>
        <w:t>System: MaxUXSuite</w:t>
      </w:r>
    </w:p>
    <w:p>
      <w:r>
        <w:t>Module ID: MUX-14</w:t>
      </w:r>
    </w:p>
    <w:p>
      <w:r>
        <w:t>Version: 1.0</w:t>
      </w:r>
    </w:p>
    <w:p>
      <w:r>
        <w:t>Title: UX Compliance Model (Governance Layer)</w:t>
      </w:r>
    </w:p>
    <w:p>
      <w:r>
        <w:t>Classification: Cross-System Governance Logic</w:t>
      </w:r>
    </w:p>
    <w:p>
      <w:r>
        <w:t>Responsible: TBYD Governance Verification Team</w:t>
      </w:r>
    </w:p>
    <w:p>
      <w:r>
        <w:t>License Model: TBYD License v2.2 / Audit Addendum A</w:t>
      </w:r>
    </w:p>
    <w:p>
      <w:r>
        <w:t>Standards Reference: SOX, GDPR, ISO/IEC 27001, TBYD Capsule Protocol v2.1</w:t>
      </w:r>
    </w:p>
    <w:p>
      <w:r>
        <w:t>Applicability: MaxOneOpen v4.1+</w:t>
      </w:r>
    </w:p>
    <w:p/>
    <w:p>
      <w:pPr>
        <w:pStyle w:val="Heading1"/>
      </w:pPr>
      <w:r>
        <w:t>1. Purpose</w:t>
      </w:r>
    </w:p>
    <w:p>
      <w:r>
        <w:t>This module defines the compliance interface between MaxUXSuite and other governance subsystems, including MaxAudit, MaxProcess, MaxWorkRoles, and MaxTreaty. It enables UI audit chains, policy anchoring, and structural delegation visibility.</w:t>
      </w:r>
    </w:p>
    <w:p>
      <w:pPr>
        <w:pStyle w:val="Heading1"/>
      </w:pPr>
      <w:r>
        <w:t>2. Capsule Cross-Linking</w:t>
      </w:r>
    </w:p>
    <w:p>
      <w:r>
        <w:t>- MaxProcess: UI input/interaction must anchor to process capsule state</w:t>
        <w:br/>
        <w:t>- MaxAudit: All interactive capsules must be traceable and exportable</w:t>
        <w:br/>
        <w:t>- MaxWorkRoles: UI visibility governed by capsule role conditions</w:t>
        <w:br/>
        <w:t>- MaxTreaty: UI overrides must reference treaty clause (if activated)</w:t>
      </w:r>
    </w:p>
    <w:p>
      <w:pPr>
        <w:pStyle w:val="Heading1"/>
      </w:pPr>
      <w:r>
        <w:t>3. UI Compliance Anchors</w:t>
      </w:r>
    </w:p>
    <w:p>
      <w:r>
        <w:t>- Governance Banner Capsules</w:t>
        <w:br/>
        <w:t>- Accessibility Justification Capsules</w:t>
        <w:br/>
        <w:t>- Treaty Freeze Modals</w:t>
        <w:br/>
        <w:t>- Audit Footers with trace ID linkage</w:t>
        <w:br/>
        <w:t>- Override Alert Capsules</w:t>
      </w:r>
    </w:p>
    <w:p>
      <w:pPr>
        <w:pStyle w:val="Heading1"/>
      </w:pPr>
      <w:r>
        <w:t>4. Standard Mapping</w:t>
      </w:r>
    </w:p>
    <w:p>
      <w:r>
        <w:t>- GDPR Art. 25: capsule-driven data minimization + consent display</w:t>
        <w:br/>
        <w:t>- SOX §302/404: approval workflows traceable via capsule elevation</w:t>
        <w:br/>
        <w:t>- ISO/IEC 27001 A.9: role-to-UI access governance capsules</w:t>
      </w:r>
    </w:p>
    <w:p>
      <w:pPr>
        <w:pStyle w:val="Heading1"/>
      </w:pPr>
      <w:r>
        <w:t>5. CTO Summary</w:t>
      </w:r>
    </w:p>
    <w:p>
      <w:r>
        <w:t>This module completes the governance bridge between user interfaces and sovereign system policy. It ensures that no interface element exists without structured governance anchoring and compliance traceability.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