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MUX-03: Input &amp; Submission Capsule Logic</w:t>
      </w:r>
    </w:p>
    <w:p>
      <w:r>
        <w:t>System: MaxUXSuite</w:t>
      </w:r>
    </w:p>
    <w:p>
      <w:r>
        <w:t>Module ID: MUX-03</w:t>
      </w:r>
    </w:p>
    <w:p>
      <w:r>
        <w:t>Version: 1.0</w:t>
      </w:r>
    </w:p>
    <w:p>
      <w:r>
        <w:t>Title: Input &amp; Submission Capsule Logic</w:t>
      </w:r>
    </w:p>
    <w:p>
      <w:r>
        <w:t>Classification: UX Input Governance</w:t>
      </w:r>
    </w:p>
    <w:p>
      <w:r>
        <w:t>Responsible: TBYD UX Input &amp; Flow Design Unit</w:t>
      </w:r>
    </w:p>
    <w:p>
      <w:r>
        <w:t>License Model: TBYD License v2.2 / Audit Addendum A</w:t>
      </w:r>
    </w:p>
    <w:p>
      <w:r>
        <w:t>Standards Reference: WCAG 2.1, ISO/IEC 27002,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defines the capsule logic governing input fields, forms, submission behavior, refusal states, and validation flow within sovereign and auditable UX contexts.</w:t>
      </w:r>
    </w:p>
    <w:p>
      <w:pPr>
        <w:pStyle w:val="Heading1"/>
      </w:pPr>
      <w:r>
        <w:t>2. Capsule Fields</w:t>
      </w:r>
    </w:p>
    <w:p>
      <w:r>
        <w:t>- component_id: UI element ID (e.g., form, input group)</w:t>
        <w:br/>
        <w:t>- input_scope: ENUM { text, boolean, select, multi-select, date, file }</w:t>
        <w:br/>
        <w:t>- validation_rule: logical rule or reference (e.g., regex, schema capsule)</w:t>
        <w:br/>
        <w:t>- refusal_condition: trigger for blocking, fallback, or escalation</w:t>
        <w:br/>
        <w:t>- fallback_path: capsule or flow ID to re-route user</w:t>
        <w:br/>
        <w:t>- required_state: external capsule reference (e.g., MaxProcess) for activation</w:t>
        <w:br/>
        <w:t>- submit_trace: BOOLEAN (record submission attempts)</w:t>
        <w:br/>
        <w:t>- accessibility_tags: optional policy reference for labels, hints, focus sequence</w:t>
      </w:r>
    </w:p>
    <w:p>
      <w:pPr>
        <w:pStyle w:val="Heading1"/>
      </w:pPr>
      <w:r>
        <w:t>3. Refusal Logic Example</w:t>
      </w:r>
    </w:p>
    <w:p>
      <w:r>
        <w:t>refusal_condition:</w:t>
        <w:br/>
        <w:t xml:space="preserve">  rule: 'input_value is null OR schema_validation == false'</w:t>
        <w:br/>
        <w:t>fallback_path: 'CAPSULE-FORM-ENTRY-RETRY'</w:t>
        <w:br/>
        <w:t>submit_trace: true</w:t>
      </w:r>
    </w:p>
    <w:p>
      <w:pPr>
        <w:pStyle w:val="Heading1"/>
      </w:pPr>
      <w:r>
        <w:t>4. CTO Summary</w:t>
      </w:r>
    </w:p>
    <w:p>
      <w:r>
        <w:t>This module enables auditable, policy-aligned user input governance. It replaces frontend script validation with capsule-based flow control, ensuring traceability, fallback options, and governance binding without enforcing UI framework dependence.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