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MUX-10: UI Lifecycle Capsule &amp; Expiration Control</w:t>
      </w:r>
    </w:p>
    <w:p>
      <w:r>
        <w:t>System: MaxUXSuite</w:t>
      </w:r>
    </w:p>
    <w:p>
      <w:r>
        <w:t>Module ID: MUX-10</w:t>
      </w:r>
    </w:p>
    <w:p>
      <w:r>
        <w:t>Version: 1.0</w:t>
      </w:r>
    </w:p>
    <w:p>
      <w:r>
        <w:t>Title: UI Lifecycle Capsule &amp; Expiration Control</w:t>
      </w:r>
    </w:p>
    <w:p>
      <w:r>
        <w:t>Classification: UI State and Decommission Governance</w:t>
      </w:r>
    </w:p>
    <w:p>
      <w:r>
        <w:t>Responsible: TBYD UI Lifecycle Coordination Unit</w:t>
      </w:r>
    </w:p>
    <w:p>
      <w:r>
        <w:t>License Model: TBYD License v2.2 / Audit Addendum A</w:t>
      </w:r>
    </w:p>
    <w:p>
      <w:r>
        <w:t>Standards Reference: ISO/IEC 27005,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enables lifecycle governance of UI components using capsules. It supports expiry, replacement, warning states, and deprecation enforcement to maintain audit-ready visibility of UI governance across change cycles.</w:t>
      </w:r>
    </w:p>
    <w:p>
      <w:pPr>
        <w:pStyle w:val="Heading1"/>
      </w:pPr>
      <w:r>
        <w:t>2. Capsule Fields</w:t>
      </w:r>
    </w:p>
    <w:p>
      <w:r>
        <w:t>- capsule_id: unique ID for lifecycle tracking</w:t>
        <w:br/>
        <w:t>- component_id: target UI element</w:t>
        <w:br/>
        <w:t>- lifecycle_state: ENUM { active, deprecated, warning, expired, blocked }</w:t>
        <w:br/>
        <w:t>- effective_until: ISO date or capsule reference trigger</w:t>
        <w:br/>
        <w:t>- replacement_reference: ID of the new component capsule (if applicable)</w:t>
        <w:br/>
        <w:t>- visual_indicator: ENUM { badge, warning-message, redirect, none }</w:t>
        <w:br/>
        <w:t>- freeze_on_expiration: BOOLEAN – block component if expired</w:t>
        <w:br/>
        <w:t>- audit_required: BOOLEAN – include in lifecycle logs</w:t>
      </w:r>
    </w:p>
    <w:p>
      <w:pPr>
        <w:pStyle w:val="Heading1"/>
      </w:pPr>
      <w:r>
        <w:t>3. Sample Logic</w:t>
      </w:r>
    </w:p>
    <w:p>
      <w:r>
        <w:t>lifecycle_state: deprecated</w:t>
        <w:br/>
        <w:t>effective_until: '2025-12-31'</w:t>
        <w:br/>
        <w:t>replacement_reference: CAPSULE-UI-SUBMIT-V2</w:t>
        <w:br/>
        <w:t>visual_indicator: warning-message</w:t>
      </w:r>
    </w:p>
    <w:p>
      <w:pPr>
        <w:pStyle w:val="Heading1"/>
      </w:pPr>
      <w:r>
        <w:t>4. CTO Summary</w:t>
      </w:r>
    </w:p>
    <w:p>
      <w:r>
        <w:t>UI Lifecycle Capsules ensure that user interfaces are aligned with policy lifespans, system migration, and design evolution. They preserve visibility of status and protect against untracked UI deprecation.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