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MUX-06: Accessibility Enforcement Capsule</w:t>
      </w:r>
    </w:p>
    <w:p>
      <w:r>
        <w:t>System: MaxUXSuite</w:t>
      </w:r>
    </w:p>
    <w:p>
      <w:r>
        <w:t>Module ID: MUX-06</w:t>
      </w:r>
    </w:p>
    <w:p>
      <w:r>
        <w:t>Version: 1.0</w:t>
      </w:r>
    </w:p>
    <w:p>
      <w:r>
        <w:t>Title: Accessibility Enforcement Capsule</w:t>
      </w:r>
    </w:p>
    <w:p>
      <w:r>
        <w:t>Classification: Compliance-Governed UX Policy Capsule</w:t>
      </w:r>
    </w:p>
    <w:p>
      <w:r>
        <w:t>Responsible: TBYD Inclusive Systems Unit</w:t>
      </w:r>
    </w:p>
    <w:p>
      <w:r>
        <w:t>License Model: TBYD License v2.2 / Audit Addendum A</w:t>
      </w:r>
    </w:p>
    <w:p>
      <w:r>
        <w:t>Standards Reference: WCAG 2.1, EN 301 549, ISO/IEC 40500,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provides a structural enforcement mechanism for accessibility principles in sovereign user interfaces. It maps WCAG guidelines and related standards into capsule-enforced rules, fully auditable and role-aware.</w:t>
      </w:r>
    </w:p>
    <w:p>
      <w:pPr>
        <w:pStyle w:val="Heading1"/>
      </w:pPr>
      <w:r>
        <w:t>2. Capsule Fields</w:t>
      </w:r>
    </w:p>
    <w:p>
      <w:r>
        <w:t>- capsule_id: unique capsule reference</w:t>
        <w:br/>
        <w:t>- target_component: UI component or group</w:t>
        <w:br/>
        <w:t>- requirement_type: ENUM { contrast, focus, alt-text, keyboard-nav, zoom, timing, error-suggestion }</w:t>
        <w:br/>
        <w:t>- enforcement_level: ENUM { required, recommended, ignored }</w:t>
        <w:br/>
        <w:t>- wcag_clause: formal reference to WCAG (e.g., 1.4.3 or 2.1.1)</w:t>
        <w:br/>
        <w:t>- fallback_behavior: guidance if enforcement fails (e.g., hide component, raise alert, log audit)</w:t>
        <w:br/>
        <w:t>- trace_required: BOOLEAN – record accessibility compliance interaction</w:t>
      </w:r>
    </w:p>
    <w:p>
      <w:pPr>
        <w:pStyle w:val="Heading1"/>
      </w:pPr>
      <w:r>
        <w:t>3. Use Case Example</w:t>
      </w:r>
    </w:p>
    <w:p>
      <w:r>
        <w:t>- requirement_type: alt-text</w:t>
        <w:br/>
        <w:t>- enforcement_level: required</w:t>
        <w:br/>
        <w:t>- wcag_clause: 1.1.1</w:t>
        <w:br/>
        <w:t>- fallback_behavior: hide component</w:t>
        <w:br/>
        <w:t>- trace_required: true</w:t>
      </w:r>
    </w:p>
    <w:p>
      <w:pPr>
        <w:pStyle w:val="Heading1"/>
      </w:pPr>
      <w:r>
        <w:t>4. CTO Summary</w:t>
      </w:r>
    </w:p>
    <w:p>
      <w:r>
        <w:t>This capsule type integrates accessibility directly into the governance layer of UI control. It transforms abstract policy obligations into technical enforcement logic, traceable and role-contextual.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