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MUX-13: UI Capsule Licensing &amp; Trace Model</w:t>
      </w:r>
    </w:p>
    <w:p>
      <w:r>
        <w:t>System: MaxUXSuite</w:t>
      </w:r>
    </w:p>
    <w:p>
      <w:r>
        <w:t>Module ID: MUX-13</w:t>
      </w:r>
    </w:p>
    <w:p>
      <w:r>
        <w:t>Version: 1.0</w:t>
      </w:r>
    </w:p>
    <w:p>
      <w:r>
        <w:t>Title: UI Capsule Licensing &amp; Trace Model</w:t>
      </w:r>
    </w:p>
    <w:p>
      <w:r>
        <w:t>Classification: Legal Reference and Audit Capsule Layer</w:t>
      </w:r>
    </w:p>
    <w:p>
      <w:r>
        <w:t>Responsible: TBYD Licensing &amp; Trace Compliance Unit</w:t>
      </w:r>
    </w:p>
    <w:p>
      <w:r>
        <w:t>License Model: TBYD License v2.2 / Audit Addendum A</w:t>
      </w:r>
    </w:p>
    <w:p>
      <w:r>
        <w:t>Standards Reference: ISO/IEC 19770, TBYD License Structure, TBYD Capsule Protocol v2.1</w:t>
      </w:r>
    </w:p>
    <w:p>
      <w:r>
        <w:t>Applicability: MaxOneOpen v4.1+</w:t>
      </w:r>
    </w:p>
    <w:p/>
    <w:p>
      <w:pPr>
        <w:pStyle w:val="Heading1"/>
      </w:pPr>
      <w:r>
        <w:t>1. Purpose</w:t>
      </w:r>
    </w:p>
    <w:p>
      <w:r>
        <w:t>This module explains which UI capsule types are license-relevant, what is traceable, and how OSS contributors or commercial users must respect licensing boundaries and audit structures when using or modifying UX capsules.</w:t>
      </w:r>
    </w:p>
    <w:p>
      <w:pPr>
        <w:pStyle w:val="Heading1"/>
      </w:pPr>
      <w:r>
        <w:t>2. License Scope Logic</w:t>
      </w:r>
    </w:p>
    <w:p>
      <w:r>
        <w:t>- Capsule types covered: Trace, Freeze, Elevation, Delegation, Accessibility</w:t>
        <w:br/>
        <w:t>- Usage under Addendum A: allowed for architecture validation, not production</w:t>
        <w:br/>
        <w:t>- Class A/B trigger: production use of governance-linked UI capsules</w:t>
        <w:br/>
        <w:t>- UI styling-only capsules: license-neutral unless bound to governance</w:t>
      </w:r>
    </w:p>
    <w:p>
      <w:pPr>
        <w:pStyle w:val="Heading1"/>
      </w:pPr>
      <w:r>
        <w:t>3. Traceability Model</w:t>
      </w:r>
    </w:p>
    <w:p>
      <w:r>
        <w:t>- All capsules listed in UX YAML must include trace_required field</w:t>
        <w:br/>
        <w:t>- Audit logs reference capsule_id + user interaction + governance actor</w:t>
        <w:br/>
        <w:t>- OSS projects must retain signed capsule files for compliance trace</w:t>
      </w:r>
    </w:p>
    <w:p>
      <w:pPr>
        <w:pStyle w:val="Heading1"/>
      </w:pPr>
      <w:r>
        <w:t>4. Enforcement Mechanism</w:t>
      </w:r>
    </w:p>
    <w:p>
      <w:r>
        <w:t>- TBYD audit tooling can validate capsule presence + signature integrity</w:t>
        <w:br/>
        <w:t>- License breach (unpaid Class A/B use) results in protective claim structure</w:t>
        <w:br/>
        <w:t>- OSS exemption: available through trace export and public capsule reference</w:t>
      </w:r>
    </w:p>
    <w:p>
      <w:pPr>
        <w:pStyle w:val="Heading1"/>
      </w:pPr>
      <w:r>
        <w:t>5. CTO Summary</w:t>
      </w:r>
    </w:p>
    <w:p>
      <w:r>
        <w:t>Licensing and traceability are structurally integrated into MaxUXSuite. No UI component can evade governance visibility, and all roles, delegations, and freezes are auditable and legally anchored.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