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B435F2" w14:textId="77777777" w:rsidR="00750B01" w:rsidRDefault="00000000">
      <w:pPr>
        <w:pStyle w:val="Titel"/>
      </w:pPr>
      <w:r>
        <w:t>SACA – Structural Architecture for Controllable Machine Behavior (v2.1)</w:t>
      </w:r>
    </w:p>
    <w:p w14:paraId="4F86541D" w14:textId="77777777" w:rsidR="00750B01" w:rsidRDefault="00000000">
      <w:pPr>
        <w:pStyle w:val="berschrift1"/>
      </w:pPr>
      <w:r>
        <w:t>Executive Summary</w:t>
      </w:r>
    </w:p>
    <w:p w14:paraId="6F55B626" w14:textId="77777777" w:rsidR="00750B01" w:rsidRDefault="00000000">
      <w:r>
        <w:t>SACA is a structural execution architecture ensuring that digital behavior only occurs when three mandatory preconditions are simultaneously met: (1) a matched rule, (2) an explicitly authorized role, and (3) a signed, auditable capsule. If any of these are missing, execution is structurally blocked. This transforms digital control from interpretive governance to architectural enforcement. SACA applies to AI and non-AI systems alike. It is technology-agnostic, logic-bound, fallback-free, and audit-anchored.</w:t>
      </w:r>
    </w:p>
    <w:p w14:paraId="4639B2EF" w14:textId="77777777" w:rsidR="00750B01" w:rsidRDefault="00000000">
      <w:pPr>
        <w:pStyle w:val="berschrift1"/>
      </w:pPr>
      <w:r>
        <w:t>Reader’s Guide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250"/>
        <w:gridCol w:w="5606"/>
      </w:tblGrid>
      <w:tr w:rsidR="00750B01" w14:paraId="5812B6DB" w14:textId="77777777">
        <w:tc>
          <w:tcPr>
            <w:tcW w:w="3600" w:type="dxa"/>
          </w:tcPr>
          <w:p w14:paraId="2E9260A7" w14:textId="77777777" w:rsidR="00750B01" w:rsidRDefault="00000000">
            <w:r>
              <w:rPr>
                <w:b/>
              </w:rPr>
              <w:t>Role / Expertise</w:t>
            </w:r>
          </w:p>
        </w:tc>
        <w:tc>
          <w:tcPr>
            <w:tcW w:w="6480" w:type="dxa"/>
          </w:tcPr>
          <w:p w14:paraId="4092BABD" w14:textId="77777777" w:rsidR="00750B01" w:rsidRDefault="00000000">
            <w:r>
              <w:rPr>
                <w:b/>
              </w:rPr>
              <w:t>Focus Sections</w:t>
            </w:r>
          </w:p>
        </w:tc>
      </w:tr>
      <w:tr w:rsidR="00750B01" w14:paraId="6676FF6A" w14:textId="77777777">
        <w:tc>
          <w:tcPr>
            <w:tcW w:w="3600" w:type="dxa"/>
          </w:tcPr>
          <w:p w14:paraId="60FDD35D" w14:textId="77777777" w:rsidR="00750B01" w:rsidRDefault="00000000">
            <w:r>
              <w:t>System Architects</w:t>
            </w:r>
          </w:p>
        </w:tc>
        <w:tc>
          <w:tcPr>
            <w:tcW w:w="6480" w:type="dxa"/>
          </w:tcPr>
          <w:p w14:paraId="04A26E88" w14:textId="77777777" w:rsidR="00750B01" w:rsidRDefault="00000000">
            <w:r>
              <w:t>Part 1, Part 2, Part 3A</w:t>
            </w:r>
          </w:p>
        </w:tc>
      </w:tr>
      <w:tr w:rsidR="00750B01" w14:paraId="6EAB12FD" w14:textId="77777777">
        <w:tc>
          <w:tcPr>
            <w:tcW w:w="3600" w:type="dxa"/>
          </w:tcPr>
          <w:p w14:paraId="7E31858F" w14:textId="77777777" w:rsidR="00750B01" w:rsidRDefault="00000000">
            <w:r>
              <w:t>Legal / Compliance Professionals</w:t>
            </w:r>
          </w:p>
        </w:tc>
        <w:tc>
          <w:tcPr>
            <w:tcW w:w="6480" w:type="dxa"/>
          </w:tcPr>
          <w:p w14:paraId="4CDDA90C" w14:textId="77777777" w:rsidR="00750B01" w:rsidRDefault="00000000">
            <w:r>
              <w:t>Part 4, Part 5, Appendix A</w:t>
            </w:r>
          </w:p>
        </w:tc>
      </w:tr>
      <w:tr w:rsidR="00750B01" w14:paraId="1653A06E" w14:textId="77777777">
        <w:tc>
          <w:tcPr>
            <w:tcW w:w="3600" w:type="dxa"/>
          </w:tcPr>
          <w:p w14:paraId="340467C0" w14:textId="77777777" w:rsidR="00750B01" w:rsidRDefault="00000000">
            <w:r>
              <w:t>Institutional and Political Leaders</w:t>
            </w:r>
          </w:p>
        </w:tc>
        <w:tc>
          <w:tcPr>
            <w:tcW w:w="6480" w:type="dxa"/>
          </w:tcPr>
          <w:p w14:paraId="280D03B3" w14:textId="77777777" w:rsidR="00750B01" w:rsidRDefault="00000000">
            <w:r>
              <w:t>Executive Summary, Part 5B, Part 6</w:t>
            </w:r>
          </w:p>
        </w:tc>
      </w:tr>
      <w:tr w:rsidR="00750B01" w14:paraId="76CF4F06" w14:textId="77777777">
        <w:tc>
          <w:tcPr>
            <w:tcW w:w="3600" w:type="dxa"/>
          </w:tcPr>
          <w:p w14:paraId="213E4A7E" w14:textId="77777777" w:rsidR="00750B01" w:rsidRDefault="00000000">
            <w:r>
              <w:t>Auditors and Supervisory Authorities</w:t>
            </w:r>
          </w:p>
        </w:tc>
        <w:tc>
          <w:tcPr>
            <w:tcW w:w="6480" w:type="dxa"/>
          </w:tcPr>
          <w:p w14:paraId="6DBC95E4" w14:textId="77777777" w:rsidR="00750B01" w:rsidRDefault="00000000">
            <w:r>
              <w:t>Part 2, Part 3B, Appendix A, Part 6</w:t>
            </w:r>
          </w:p>
        </w:tc>
      </w:tr>
      <w:tr w:rsidR="00750B01" w:rsidRPr="00754186" w14:paraId="186DC9A2" w14:textId="77777777">
        <w:tc>
          <w:tcPr>
            <w:tcW w:w="3600" w:type="dxa"/>
          </w:tcPr>
          <w:p w14:paraId="0A179B7C" w14:textId="77777777" w:rsidR="00750B01" w:rsidRDefault="00000000">
            <w:r>
              <w:t>Open Source / Infrastructure Leaders</w:t>
            </w:r>
          </w:p>
        </w:tc>
        <w:tc>
          <w:tcPr>
            <w:tcW w:w="6480" w:type="dxa"/>
          </w:tcPr>
          <w:p w14:paraId="46B492BA" w14:textId="77777777" w:rsidR="00750B01" w:rsidRPr="00754186" w:rsidRDefault="00000000">
            <w:pPr>
              <w:rPr>
                <w:lang w:val="fr-FR"/>
              </w:rPr>
            </w:pPr>
            <w:r w:rsidRPr="00754186">
              <w:rPr>
                <w:lang w:val="fr-FR"/>
              </w:rPr>
              <w:t>Part 3C, Part 6, Appendix C</w:t>
            </w:r>
          </w:p>
        </w:tc>
      </w:tr>
    </w:tbl>
    <w:p w14:paraId="1BD71302" w14:textId="77777777" w:rsidR="00754186" w:rsidRDefault="00754186">
      <w:pPr>
        <w:rPr>
          <w:i/>
          <w:lang w:val="fr-FR"/>
        </w:rPr>
      </w:pPr>
    </w:p>
    <w:p w14:paraId="012C604E" w14:textId="77777777" w:rsidR="00E07A77" w:rsidRDefault="00E07A77">
      <w:pPr>
        <w:rPr>
          <w:i/>
          <w:lang w:val="fr-FR"/>
        </w:rPr>
      </w:pPr>
    </w:p>
    <w:p w14:paraId="5ED366DB" w14:textId="77777777" w:rsidR="00E07A77" w:rsidRDefault="00E07A77">
      <w:pPr>
        <w:rPr>
          <w:i/>
          <w:lang w:val="fr-FR"/>
        </w:rPr>
      </w:pPr>
    </w:p>
    <w:p w14:paraId="66B82DA6" w14:textId="77777777" w:rsidR="00E07A77" w:rsidRDefault="00E07A77">
      <w:pPr>
        <w:rPr>
          <w:i/>
          <w:lang w:val="fr-FR"/>
        </w:rPr>
      </w:pPr>
    </w:p>
    <w:p w14:paraId="46D2261C" w14:textId="77777777" w:rsidR="00E07A77" w:rsidRDefault="00E07A77">
      <w:pPr>
        <w:rPr>
          <w:i/>
          <w:lang w:val="fr-FR"/>
        </w:rPr>
      </w:pPr>
    </w:p>
    <w:p w14:paraId="1376325E" w14:textId="77777777" w:rsidR="00E07A77" w:rsidRDefault="00E07A77">
      <w:pPr>
        <w:rPr>
          <w:i/>
          <w:lang w:val="fr-FR"/>
        </w:rPr>
      </w:pPr>
    </w:p>
    <w:p w14:paraId="485B7C8D" w14:textId="77777777" w:rsidR="00E07A77" w:rsidRDefault="00E07A77">
      <w:pPr>
        <w:rPr>
          <w:i/>
          <w:lang w:val="fr-FR"/>
        </w:rPr>
      </w:pPr>
    </w:p>
    <w:p w14:paraId="62FAE099" w14:textId="77777777" w:rsidR="00E07A77" w:rsidRDefault="00E07A77">
      <w:pPr>
        <w:rPr>
          <w:i/>
          <w:lang w:val="fr-FR"/>
        </w:rPr>
      </w:pPr>
    </w:p>
    <w:p w14:paraId="59D9F409" w14:textId="77777777" w:rsidR="00E07A77" w:rsidRDefault="00E07A77">
      <w:pPr>
        <w:rPr>
          <w:i/>
          <w:lang w:val="fr-FR"/>
        </w:rPr>
      </w:pPr>
    </w:p>
    <w:p w14:paraId="0F68B84F" w14:textId="77777777" w:rsidR="00E07A77" w:rsidRDefault="00E07A77">
      <w:pPr>
        <w:rPr>
          <w:i/>
          <w:lang w:val="fr-FR"/>
        </w:rPr>
      </w:pPr>
    </w:p>
    <w:p w14:paraId="4867AB92" w14:textId="77777777" w:rsidR="00E07A77" w:rsidRDefault="00E07A77">
      <w:pPr>
        <w:rPr>
          <w:i/>
          <w:lang w:val="fr-FR"/>
        </w:rPr>
      </w:pPr>
    </w:p>
    <w:p w14:paraId="17A48C0C" w14:textId="77777777" w:rsidR="00E07A77" w:rsidRDefault="00E07A77">
      <w:pPr>
        <w:rPr>
          <w:i/>
          <w:lang w:val="fr-FR"/>
        </w:rPr>
      </w:pPr>
    </w:p>
    <w:p w14:paraId="36442CCA" w14:textId="77777777" w:rsidR="00E07A77" w:rsidRDefault="00E07A77" w:rsidP="00E07A77">
      <w:r>
        <w:rPr>
          <w:i/>
        </w:rPr>
        <w:t>MATCHED + ROLE AUTHORIZED + SIGNED CAPSULE PRESENT. Else: execution = BLOCKED]</w:t>
      </w:r>
    </w:p>
    <w:p w14:paraId="1A11C1CA" w14:textId="77777777" w:rsidR="00E07A77" w:rsidRPr="00754186" w:rsidRDefault="00E07A77">
      <w:pPr>
        <w:rPr>
          <w:i/>
          <w:lang w:val="fr-FR"/>
        </w:rPr>
      </w:pPr>
    </w:p>
    <w:p w14:paraId="25DAF332" w14:textId="77777777" w:rsidR="00754186" w:rsidRDefault="00754186">
      <w:pPr>
        <w:rPr>
          <w:i/>
        </w:rPr>
      </w:pPr>
      <w:r>
        <w:rPr>
          <w:i/>
          <w:noProof/>
        </w:rPr>
        <w:drawing>
          <wp:inline distT="0" distB="0" distL="0" distR="0" wp14:anchorId="27E03584" wp14:editId="3802F369">
            <wp:extent cx="5486400" cy="5486400"/>
            <wp:effectExtent l="0" t="0" r="0" b="0"/>
            <wp:docPr id="1700269998" name="Grafik 1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269998" name="Grafik 1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2D43E" w14:textId="77777777" w:rsidR="00750B01" w:rsidRDefault="00000000">
      <w:pPr>
        <w:pStyle w:val="berschrift1"/>
      </w:pPr>
      <w:r>
        <w:t>Part 1: Principle of Structural Execution Binding</w:t>
      </w:r>
    </w:p>
    <w:p w14:paraId="1E45157C" w14:textId="77777777" w:rsidR="00750B01" w:rsidRDefault="00000000">
      <w:r>
        <w:t>SACA defines execution as a binary permission model:</w:t>
      </w:r>
      <w:r>
        <w:br/>
        <w:t>- Rule: A deterministically matched control logic</w:t>
      </w:r>
      <w:r>
        <w:br/>
        <w:t>- Role: An assigned, cryptographically signed actor identity</w:t>
      </w:r>
      <w:r>
        <w:br/>
        <w:t>- Capsule: An isolated execution container with audit trace, expiry, and revocation</w:t>
      </w:r>
      <w:r>
        <w:br/>
      </w:r>
      <w:r>
        <w:br/>
        <w:t>Structural Blockade: If any precondition is missing → execution cannot occur.</w:t>
      </w:r>
    </w:p>
    <w:p w14:paraId="5B55EA0C" w14:textId="77777777" w:rsidR="00750B01" w:rsidRDefault="00000000">
      <w:pPr>
        <w:pStyle w:val="berschrift1"/>
      </w:pPr>
      <w:r>
        <w:lastRenderedPageBreak/>
        <w:t>Part 2: System Requirements and Control Logic</w:t>
      </w:r>
    </w:p>
    <w:p w14:paraId="0A00AA73" w14:textId="77777777" w:rsidR="00750B01" w:rsidRDefault="00000000">
      <w:r>
        <w:t>A system is only SACA-compliant if it satisfies all of the following:</w:t>
      </w:r>
      <w:r>
        <w:br/>
        <w:t>- Pre-execution binding: rules and roles must be structurally locked before runtime</w:t>
      </w:r>
      <w:r>
        <w:br/>
        <w:t>- Signed capsule logic: execution units must be encapsulated, signed, versioned</w:t>
      </w:r>
      <w:r>
        <w:br/>
        <w:t>- Forkable traceability: every state must be independently auditable</w:t>
      </w:r>
      <w:r>
        <w:br/>
        <w:t>- Fallback-free behavior: no hot-patches, no overrides, no runtime exceptions</w:t>
      </w:r>
    </w:p>
    <w:p w14:paraId="5697BA51" w14:textId="77777777" w:rsidR="00750B01" w:rsidRDefault="00000000">
      <w:pPr>
        <w:pStyle w:val="berschrift1"/>
      </w:pPr>
      <w:r>
        <w:t>Part 3A: System Architects – Technical Control Flow</w:t>
      </w:r>
    </w:p>
    <w:p w14:paraId="15D3ACA4" w14:textId="77777777" w:rsidR="00750B01" w:rsidRDefault="00000000">
      <w:r>
        <w:t>Capsule Signing: Must use tamper-proof digital signature standards (e.g., Ed25519, ECDSA)</w:t>
      </w:r>
      <w:r>
        <w:br/>
        <w:t>Key Management: Role-based keys issued via governance authority, with rotation and revocation protocols</w:t>
      </w:r>
      <w:r>
        <w:br/>
        <w:t>Component View:</w:t>
      </w:r>
      <w:r>
        <w:br/>
        <w:t>- Policy Engine</w:t>
      </w:r>
      <w:r>
        <w:br/>
        <w:t>- Role Registry</w:t>
      </w:r>
      <w:r>
        <w:br/>
        <w:t>- Capsule Execution Core</w:t>
      </w:r>
      <w:r>
        <w:br/>
        <w:t>- Audit Layer (immutable + hash chained)</w:t>
      </w:r>
      <w:r>
        <w:br/>
        <w:t>- Interface Shields (e.g. API Gateway lockdown)</w:t>
      </w:r>
      <w:r>
        <w:br/>
        <w:t>Deployment Patterns: Compatible with containerized (K8s), microservice (sidecar), or event-driven architectures</w:t>
      </w:r>
    </w:p>
    <w:p w14:paraId="7492C2AD" w14:textId="77777777" w:rsidR="00750B01" w:rsidRDefault="00000000">
      <w:pPr>
        <w:pStyle w:val="berschrift2"/>
      </w:pPr>
      <w:r>
        <w:t>Execution Flow Example</w:t>
      </w:r>
    </w:p>
    <w:p w14:paraId="3D436268" w14:textId="77777777" w:rsidR="00750B01" w:rsidRDefault="00000000">
      <w:r>
        <w:t>1. Rule Match → via Policy Engine → POLICY-001</w:t>
      </w:r>
      <w:r>
        <w:br/>
        <w:t>2. Role Check → Registry validation of service-A.internal</w:t>
      </w:r>
      <w:r>
        <w:br/>
        <w:t>3. Capsule Creation → includes timestamp, rule-ID, role-ID</w:t>
      </w:r>
      <w:r>
        <w:br/>
        <w:t>4. Audit Trace → capsule log hash chained to ledger</w:t>
      </w:r>
      <w:r>
        <w:br/>
        <w:t>5. Execution → sanitize_and_export() in container</w:t>
      </w:r>
      <w:r>
        <w:br/>
        <w:t>6. Audit Completion → signed trace export</w:t>
      </w:r>
    </w:p>
    <w:p w14:paraId="5D22F77C" w14:textId="77777777" w:rsidR="00750B01" w:rsidRDefault="00000000">
      <w:pPr>
        <w:pStyle w:val="berschrift1"/>
      </w:pPr>
      <w:r>
        <w:t>Part 3B: Auditors – Trace Anchoring &amp; Verifiability</w:t>
      </w:r>
    </w:p>
    <w:p w14:paraId="217D49BC" w14:textId="77777777" w:rsidR="00750B01" w:rsidRDefault="00000000">
      <w:r>
        <w:t>Audit Artefacts: Timestamped rule reference, role-ID, execution hash, context capsule</w:t>
      </w:r>
      <w:r>
        <w:br/>
        <w:t>Log Verification: Structured correlation with IDW PS 330, ISO 19011 audit trails</w:t>
      </w:r>
      <w:r>
        <w:br/>
        <w:t>Review Conditions: Audit trace must be externally replicable, not self-reported</w:t>
      </w:r>
      <w:r>
        <w:br/>
        <w:t>Fork Validity: Forks must retain verifiable rule-role lineage and capsule continuity</w:t>
      </w:r>
    </w:p>
    <w:p w14:paraId="5E82642C" w14:textId="77777777" w:rsidR="00750B01" w:rsidRDefault="00000000">
      <w:pPr>
        <w:pStyle w:val="berschrift2"/>
      </w:pPr>
      <w:r>
        <w:t>Sample Tools</w:t>
      </w:r>
    </w:p>
    <w:p w14:paraId="4B49D2A3" w14:textId="77777777" w:rsidR="00750B01" w:rsidRDefault="00000000">
      <w:r>
        <w:t>- Hash Verifier: Capsule chain integrity checker</w:t>
      </w:r>
      <w:r>
        <w:br/>
        <w:t>- Role Decoder: Validates SPIFFE/SVID tokens</w:t>
      </w:r>
      <w:r>
        <w:br/>
        <w:t>- Policy Trace Map: Generates reasoning graph from audit capsule chain</w:t>
      </w:r>
    </w:p>
    <w:p w14:paraId="6A228B35" w14:textId="77777777" w:rsidR="00750B01" w:rsidRDefault="00000000">
      <w:pPr>
        <w:pStyle w:val="berschrift2"/>
      </w:pPr>
      <w:r>
        <w:lastRenderedPageBreak/>
        <w:t>Tooling References (Real World)</w:t>
      </w:r>
    </w:p>
    <w:p w14:paraId="4A4361D8" w14:textId="77777777" w:rsidR="00750B01" w:rsidRDefault="00000000">
      <w:r>
        <w:t>- Sigstore Rekor: https://github.com/sigstore/rekor</w:t>
      </w:r>
      <w:r>
        <w:br/>
        <w:t>- Open Policy Agent (OPA): https://www.openpolicyagent.org</w:t>
      </w:r>
      <w:r>
        <w:br/>
        <w:t>- SPIFFE/SPIRE: https://spiffe.io</w:t>
      </w:r>
    </w:p>
    <w:p w14:paraId="160D8366" w14:textId="77777777" w:rsidR="00750B01" w:rsidRDefault="00000000">
      <w:pPr>
        <w:pStyle w:val="berschrift1"/>
      </w:pPr>
      <w:r>
        <w:t>Part 3C: OSS / Infrastructure Leaders</w:t>
      </w:r>
    </w:p>
    <w:p w14:paraId="1F76910F" w14:textId="77777777" w:rsidR="00750B01" w:rsidRDefault="00000000">
      <w:r>
        <w:t>Forkability Enforcement: Right to audit and replicate must be structurally embedded</w:t>
      </w:r>
      <w:r>
        <w:br/>
        <w:t>Governance Anchors: Open source forks must retain audit integrity and role trace</w:t>
      </w:r>
      <w:r>
        <w:br/>
        <w:t>Runtime Integrity: DevSecOps compatible, capsule-integrity checks at CI/CD integration</w:t>
      </w:r>
      <w:r>
        <w:br/>
        <w:t>Toolchain Example: Sigstore, OPA, SPIFFE/SPIRE, Kyverno policy sets, GitOps trace anchoring</w:t>
      </w:r>
    </w:p>
    <w:p w14:paraId="22A7BE59" w14:textId="77777777" w:rsidR="00750B01" w:rsidRDefault="00000000">
      <w:pPr>
        <w:pStyle w:val="berschrift2"/>
      </w:pPr>
      <w:r>
        <w:t>Fork Scenario</w:t>
      </w:r>
    </w:p>
    <w:p w14:paraId="183E2444" w14:textId="77777777" w:rsidR="00750B01" w:rsidRDefault="00000000">
      <w:r>
        <w:t>- Replace key authority</w:t>
      </w:r>
      <w:r>
        <w:br/>
        <w:t>- Re-sign capsules</w:t>
      </w:r>
      <w:r>
        <w:br/>
        <w:t>- Publish capsule continuity hash diff</w:t>
      </w:r>
    </w:p>
    <w:p w14:paraId="23020691" w14:textId="77777777" w:rsidR="00750B01" w:rsidRDefault="00000000">
      <w:pPr>
        <w:pStyle w:val="berschrift2"/>
      </w:pPr>
      <w:r>
        <w:t>Contributor Governance</w:t>
      </w:r>
    </w:p>
    <w:p w14:paraId="1FC2B58E" w14:textId="77777777" w:rsidR="00750B01" w:rsidRDefault="00000000">
      <w:r>
        <w:t>- Contributor keys = GPG trust chain</w:t>
      </w:r>
      <w:r>
        <w:br/>
        <w:t>- All contributions = capsule-asserted</w:t>
      </w:r>
      <w:r>
        <w:br/>
        <w:t>- Maintainer sign-off = policy signature</w:t>
      </w:r>
    </w:p>
    <w:p w14:paraId="0BBBCA00" w14:textId="77777777" w:rsidR="00750B01" w:rsidRDefault="00000000">
      <w:pPr>
        <w:pStyle w:val="berschrift2"/>
      </w:pPr>
      <w:r>
        <w:t>Practical Integration Note</w:t>
      </w:r>
    </w:p>
    <w:p w14:paraId="3E412B6E" w14:textId="77777777" w:rsidR="00750B01" w:rsidRDefault="00000000">
      <w:r>
        <w:t>While SACA itself is a system-independent architectural model, practical implementation questions—such as GitHub references or CI/CD templates—are addressed via reference systems.</w:t>
      </w:r>
      <w:r>
        <w:br/>
        <w:t>MaxOneOpen, the first full-scale SACA implementation, provides such an example. It includes:</w:t>
      </w:r>
      <w:r>
        <w:br/>
        <w:t>- Capsule-based execution logic</w:t>
      </w:r>
      <w:r>
        <w:br/>
        <w:t>- Fully auditable rule-role-event bindings</w:t>
      </w:r>
      <w:r>
        <w:br/>
        <w:t>- Public treaty interfaces</w:t>
      </w:r>
      <w:r>
        <w:br/>
        <w:t>- Policy-driven CI/CD integration</w:t>
      </w:r>
    </w:p>
    <w:p w14:paraId="652BF519" w14:textId="77777777" w:rsidR="00750B01" w:rsidRDefault="00000000">
      <w:pPr>
        <w:pStyle w:val="berschrift1"/>
      </w:pPr>
      <w:r>
        <w:t>Part 4: Legal Anchoring &amp; Norm Alignment</w:t>
      </w:r>
    </w:p>
    <w:p w14:paraId="6266ADA0" w14:textId="77777777" w:rsidR="00750B01" w:rsidRDefault="00000000">
      <w:pPr>
        <w:pStyle w:val="berschrift2"/>
      </w:pPr>
      <w:r>
        <w:t>Norm Mapping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089"/>
        <w:gridCol w:w="4767"/>
      </w:tblGrid>
      <w:tr w:rsidR="00750B01" w14:paraId="3B59028A" w14:textId="77777777">
        <w:tc>
          <w:tcPr>
            <w:tcW w:w="4320" w:type="dxa"/>
          </w:tcPr>
          <w:p w14:paraId="181FC265" w14:textId="77777777" w:rsidR="00750B01" w:rsidRDefault="00000000">
            <w:r>
              <w:rPr>
                <w:b/>
              </w:rPr>
              <w:t>SACA Structural Element</w:t>
            </w:r>
          </w:p>
        </w:tc>
        <w:tc>
          <w:tcPr>
            <w:tcW w:w="5040" w:type="dxa"/>
          </w:tcPr>
          <w:p w14:paraId="15716C6B" w14:textId="77777777" w:rsidR="00750B01" w:rsidRDefault="00000000">
            <w:r>
              <w:rPr>
                <w:b/>
              </w:rPr>
              <w:t>Corresponding Norm</w:t>
            </w:r>
          </w:p>
        </w:tc>
      </w:tr>
      <w:tr w:rsidR="00750B01" w14:paraId="1ED538EB" w14:textId="77777777">
        <w:tc>
          <w:tcPr>
            <w:tcW w:w="4320" w:type="dxa"/>
          </w:tcPr>
          <w:p w14:paraId="60C32E6A" w14:textId="77777777" w:rsidR="00750B01" w:rsidRDefault="00000000">
            <w:r>
              <w:t>Rule-Role Binding</w:t>
            </w:r>
          </w:p>
        </w:tc>
        <w:tc>
          <w:tcPr>
            <w:tcW w:w="5040" w:type="dxa"/>
          </w:tcPr>
          <w:p w14:paraId="3AD880E2" w14:textId="77777777" w:rsidR="00750B01" w:rsidRDefault="00000000">
            <w:r>
              <w:t>NIS2 Art. 21(2c), ISO 27002</w:t>
            </w:r>
          </w:p>
        </w:tc>
      </w:tr>
      <w:tr w:rsidR="00750B01" w14:paraId="168EAE19" w14:textId="77777777">
        <w:tc>
          <w:tcPr>
            <w:tcW w:w="4320" w:type="dxa"/>
          </w:tcPr>
          <w:p w14:paraId="74F5488A" w14:textId="77777777" w:rsidR="00750B01" w:rsidRDefault="00000000">
            <w:r>
              <w:t>Pre-execution Enforcement</w:t>
            </w:r>
          </w:p>
        </w:tc>
        <w:tc>
          <w:tcPr>
            <w:tcW w:w="5040" w:type="dxa"/>
          </w:tcPr>
          <w:p w14:paraId="00ECC6AE" w14:textId="77777777" w:rsidR="00750B01" w:rsidRDefault="00000000">
            <w:r>
              <w:t>ISO 27001 A.12.1.2</w:t>
            </w:r>
          </w:p>
        </w:tc>
      </w:tr>
      <w:tr w:rsidR="00750B01" w14:paraId="50ADED74" w14:textId="77777777">
        <w:tc>
          <w:tcPr>
            <w:tcW w:w="4320" w:type="dxa"/>
          </w:tcPr>
          <w:p w14:paraId="7AB9A0FD" w14:textId="77777777" w:rsidR="00750B01" w:rsidRDefault="00000000">
            <w:r>
              <w:t>Auditability by Design</w:t>
            </w:r>
          </w:p>
        </w:tc>
        <w:tc>
          <w:tcPr>
            <w:tcW w:w="5040" w:type="dxa"/>
          </w:tcPr>
          <w:p w14:paraId="3E62002F" w14:textId="77777777" w:rsidR="00750B01" w:rsidRDefault="00000000">
            <w:r>
              <w:t>IDW PS 982, AI Act Art. 12</w:t>
            </w:r>
          </w:p>
        </w:tc>
      </w:tr>
      <w:tr w:rsidR="00750B01" w14:paraId="61433B49" w14:textId="77777777">
        <w:tc>
          <w:tcPr>
            <w:tcW w:w="4320" w:type="dxa"/>
          </w:tcPr>
          <w:p w14:paraId="3B7B67F0" w14:textId="77777777" w:rsidR="00750B01" w:rsidRDefault="00000000">
            <w:r>
              <w:t>Forkable Control</w:t>
            </w:r>
          </w:p>
        </w:tc>
        <w:tc>
          <w:tcPr>
            <w:tcW w:w="5040" w:type="dxa"/>
          </w:tcPr>
          <w:p w14:paraId="084F3224" w14:textId="77777777" w:rsidR="00750B01" w:rsidRDefault="00000000">
            <w:r>
              <w:t>AI Act Annex IX, EC OSS Guide</w:t>
            </w:r>
          </w:p>
        </w:tc>
      </w:tr>
      <w:tr w:rsidR="00750B01" w14:paraId="0B9C14B5" w14:textId="77777777">
        <w:tc>
          <w:tcPr>
            <w:tcW w:w="4320" w:type="dxa"/>
          </w:tcPr>
          <w:p w14:paraId="6B463FCD" w14:textId="77777777" w:rsidR="00750B01" w:rsidRDefault="00000000">
            <w:r>
              <w:t>No-Fallback Architecture</w:t>
            </w:r>
          </w:p>
        </w:tc>
        <w:tc>
          <w:tcPr>
            <w:tcW w:w="5040" w:type="dxa"/>
          </w:tcPr>
          <w:p w14:paraId="010A84FA" w14:textId="77777777" w:rsidR="00750B01" w:rsidRDefault="00000000">
            <w:r>
              <w:t>COSO Principle 10</w:t>
            </w:r>
          </w:p>
        </w:tc>
      </w:tr>
    </w:tbl>
    <w:p w14:paraId="7DD32BD5" w14:textId="77777777" w:rsidR="00750B01" w:rsidRDefault="00000000">
      <w:pPr>
        <w:pStyle w:val="berschrift2"/>
      </w:pPr>
      <w:r>
        <w:lastRenderedPageBreak/>
        <w:t>Legal SLA Clause (Sample)</w:t>
      </w:r>
    </w:p>
    <w:p w14:paraId="29458C0B" w14:textId="77777777" w:rsidR="00750B01" w:rsidRDefault="00000000">
      <w:r>
        <w:t>“All system-level behaviors under this contract are subject to structural pre-execution control under the SACA model. Execution is permitted exclusively upon verifiable rule-role binding and auditable capsule certification. Failure to meet these structural conditions constitutes a material breach of governance compliance.”</w:t>
      </w:r>
    </w:p>
    <w:p w14:paraId="6C1A5564" w14:textId="77777777" w:rsidR="00750B01" w:rsidRDefault="00000000">
      <w:pPr>
        <w:pStyle w:val="berschrift2"/>
      </w:pPr>
      <w:r>
        <w:t>Application Scenario</w:t>
      </w:r>
    </w:p>
    <w:p w14:paraId="494ABD89" w14:textId="77777777" w:rsidR="00750B01" w:rsidRDefault="00000000">
      <w:r>
        <w:t>- Domain: Regulatory agency procurement</w:t>
      </w:r>
      <w:r>
        <w:br/>
        <w:t>- Requirement: Capsule-based event log with signed rule-role-reference</w:t>
      </w:r>
    </w:p>
    <w:p w14:paraId="5356134D" w14:textId="77777777" w:rsidR="00750B01" w:rsidRDefault="00000000">
      <w:pPr>
        <w:pStyle w:val="berschrift2"/>
      </w:pPr>
      <w:r>
        <w:t>Governance Policy Model</w:t>
      </w:r>
    </w:p>
    <w:p w14:paraId="282F4558" w14:textId="77777777" w:rsidR="00750B01" w:rsidRDefault="00000000">
      <w:r>
        <w:t>To structurally ensure SACA compliance within enterprise or public institutions, policies should define:</w:t>
      </w:r>
      <w:r>
        <w:br/>
        <w:t>- Binding of rules to enforceable roles</w:t>
      </w:r>
      <w:r>
        <w:br/>
        <w:t>- Designation of capsule issuance authorities</w:t>
      </w:r>
      <w:r>
        <w:br/>
        <w:t>- Provisions for third-party verifiability (audit interfaces)</w:t>
      </w:r>
      <w:r>
        <w:br/>
        <w:t>- Minimum structural guarantees (no override, no fallback, audit-or-fail logic)</w:t>
      </w:r>
    </w:p>
    <w:p w14:paraId="388408AD" w14:textId="77777777" w:rsidR="00750B01" w:rsidRDefault="00000000">
      <w:pPr>
        <w:pStyle w:val="berschrift1"/>
      </w:pPr>
      <w:r>
        <w:t>Part 5: Strategic Framing &amp; Institutional Fit</w:t>
      </w:r>
    </w:p>
    <w:p w14:paraId="3C4DA82B" w14:textId="77777777" w:rsidR="00750B01" w:rsidRDefault="00000000">
      <w:pPr>
        <w:pStyle w:val="berschrift2"/>
      </w:pPr>
      <w:r>
        <w:t>Meta-Comparison Table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43"/>
        <w:gridCol w:w="1796"/>
        <w:gridCol w:w="1537"/>
        <w:gridCol w:w="1537"/>
        <w:gridCol w:w="1743"/>
      </w:tblGrid>
      <w:tr w:rsidR="00750B01" w14:paraId="5ABAC9FE" w14:textId="77777777">
        <w:tc>
          <w:tcPr>
            <w:tcW w:w="3312" w:type="dxa"/>
          </w:tcPr>
          <w:p w14:paraId="0A3952DD" w14:textId="77777777" w:rsidR="00750B01" w:rsidRDefault="00000000">
            <w:r>
              <w:rPr>
                <w:b/>
              </w:rPr>
              <w:t>Feature</w:t>
            </w:r>
          </w:p>
        </w:tc>
        <w:tc>
          <w:tcPr>
            <w:tcW w:w="2160" w:type="dxa"/>
          </w:tcPr>
          <w:p w14:paraId="542CA893" w14:textId="77777777" w:rsidR="00750B01" w:rsidRDefault="00000000">
            <w:r>
              <w:rPr>
                <w:b/>
              </w:rPr>
              <w:t>SACA</w:t>
            </w:r>
          </w:p>
        </w:tc>
        <w:tc>
          <w:tcPr>
            <w:tcW w:w="2160" w:type="dxa"/>
          </w:tcPr>
          <w:p w14:paraId="504BE365" w14:textId="77777777" w:rsidR="00750B01" w:rsidRDefault="00000000">
            <w:r>
              <w:rPr>
                <w:b/>
              </w:rPr>
              <w:t>ISO 27001</w:t>
            </w:r>
          </w:p>
        </w:tc>
        <w:tc>
          <w:tcPr>
            <w:tcW w:w="2160" w:type="dxa"/>
          </w:tcPr>
          <w:p w14:paraId="0A5F8B49" w14:textId="77777777" w:rsidR="00750B01" w:rsidRDefault="00000000">
            <w:r>
              <w:rPr>
                <w:b/>
              </w:rPr>
              <w:t>COSO</w:t>
            </w:r>
          </w:p>
        </w:tc>
        <w:tc>
          <w:tcPr>
            <w:tcW w:w="2160" w:type="dxa"/>
          </w:tcPr>
          <w:p w14:paraId="0E6F3116" w14:textId="77777777" w:rsidR="00750B01" w:rsidRDefault="00000000">
            <w:r>
              <w:rPr>
                <w:b/>
              </w:rPr>
              <w:t>IDW PS 982</w:t>
            </w:r>
          </w:p>
        </w:tc>
      </w:tr>
      <w:tr w:rsidR="00750B01" w14:paraId="4ADDBADE" w14:textId="77777777">
        <w:tc>
          <w:tcPr>
            <w:tcW w:w="3312" w:type="dxa"/>
          </w:tcPr>
          <w:p w14:paraId="4AE40D88" w14:textId="77777777" w:rsidR="00750B01" w:rsidRDefault="00000000">
            <w:r>
              <w:t>Rule-bound Execution</w:t>
            </w:r>
          </w:p>
        </w:tc>
        <w:tc>
          <w:tcPr>
            <w:tcW w:w="2160" w:type="dxa"/>
          </w:tcPr>
          <w:p w14:paraId="29E808B4" w14:textId="77777777" w:rsidR="00750B01" w:rsidRDefault="00000000">
            <w:r>
              <w:t>✅ Mandatory</w:t>
            </w:r>
          </w:p>
        </w:tc>
        <w:tc>
          <w:tcPr>
            <w:tcW w:w="2160" w:type="dxa"/>
          </w:tcPr>
          <w:p w14:paraId="45A2A341" w14:textId="77777777" w:rsidR="00750B01" w:rsidRDefault="00000000">
            <w:r>
              <w:t>❌ Optional</w:t>
            </w:r>
          </w:p>
        </w:tc>
        <w:tc>
          <w:tcPr>
            <w:tcW w:w="2160" w:type="dxa"/>
          </w:tcPr>
          <w:p w14:paraId="0B5DC17E" w14:textId="77777777" w:rsidR="00750B01" w:rsidRDefault="00000000">
            <w:r>
              <w:t>❌ Advisory</w:t>
            </w:r>
          </w:p>
        </w:tc>
        <w:tc>
          <w:tcPr>
            <w:tcW w:w="2160" w:type="dxa"/>
          </w:tcPr>
          <w:p w14:paraId="26D4C030" w14:textId="77777777" w:rsidR="00750B01" w:rsidRDefault="00000000">
            <w:r>
              <w:t>⚠️ Partial</w:t>
            </w:r>
          </w:p>
        </w:tc>
      </w:tr>
      <w:tr w:rsidR="00750B01" w14:paraId="15C8305B" w14:textId="77777777">
        <w:tc>
          <w:tcPr>
            <w:tcW w:w="3312" w:type="dxa"/>
          </w:tcPr>
          <w:p w14:paraId="3756B0CA" w14:textId="77777777" w:rsidR="00750B01" w:rsidRDefault="00000000">
            <w:r>
              <w:t>Role Locking</w:t>
            </w:r>
          </w:p>
        </w:tc>
        <w:tc>
          <w:tcPr>
            <w:tcW w:w="2160" w:type="dxa"/>
          </w:tcPr>
          <w:p w14:paraId="13C8FC91" w14:textId="77777777" w:rsidR="00750B01" w:rsidRDefault="00000000">
            <w:r>
              <w:t>✅ Signed</w:t>
            </w:r>
          </w:p>
        </w:tc>
        <w:tc>
          <w:tcPr>
            <w:tcW w:w="2160" w:type="dxa"/>
          </w:tcPr>
          <w:p w14:paraId="208E0F95" w14:textId="77777777" w:rsidR="00750B01" w:rsidRDefault="00000000">
            <w:r>
              <w:t>⚠️ Role Docs</w:t>
            </w:r>
          </w:p>
        </w:tc>
        <w:tc>
          <w:tcPr>
            <w:tcW w:w="2160" w:type="dxa"/>
          </w:tcPr>
          <w:p w14:paraId="04F896DB" w14:textId="77777777" w:rsidR="00750B01" w:rsidRDefault="00000000">
            <w:r>
              <w:t>❌</w:t>
            </w:r>
          </w:p>
        </w:tc>
        <w:tc>
          <w:tcPr>
            <w:tcW w:w="2160" w:type="dxa"/>
          </w:tcPr>
          <w:p w14:paraId="4FC00D39" w14:textId="77777777" w:rsidR="00750B01" w:rsidRDefault="00000000">
            <w:r>
              <w:t>⚠️ Documented</w:t>
            </w:r>
          </w:p>
        </w:tc>
      </w:tr>
      <w:tr w:rsidR="00750B01" w14:paraId="7B7411AF" w14:textId="77777777">
        <w:tc>
          <w:tcPr>
            <w:tcW w:w="3312" w:type="dxa"/>
          </w:tcPr>
          <w:p w14:paraId="3BF3D512" w14:textId="77777777" w:rsidR="00750B01" w:rsidRDefault="00000000">
            <w:r>
              <w:t>Audit Anchoring</w:t>
            </w:r>
          </w:p>
        </w:tc>
        <w:tc>
          <w:tcPr>
            <w:tcW w:w="2160" w:type="dxa"/>
          </w:tcPr>
          <w:p w14:paraId="1441EE5B" w14:textId="77777777" w:rsidR="00750B01" w:rsidRDefault="00000000">
            <w:r>
              <w:t>✅ Cryptographic</w:t>
            </w:r>
          </w:p>
        </w:tc>
        <w:tc>
          <w:tcPr>
            <w:tcW w:w="2160" w:type="dxa"/>
          </w:tcPr>
          <w:p w14:paraId="4061D23B" w14:textId="77777777" w:rsidR="00750B01" w:rsidRDefault="00000000">
            <w:r>
              <w:t>⚠️ Logging</w:t>
            </w:r>
          </w:p>
        </w:tc>
        <w:tc>
          <w:tcPr>
            <w:tcW w:w="2160" w:type="dxa"/>
          </w:tcPr>
          <w:p w14:paraId="03CAEB9E" w14:textId="77777777" w:rsidR="00750B01" w:rsidRDefault="00000000">
            <w:r>
              <w:t>❌ Reports</w:t>
            </w:r>
          </w:p>
        </w:tc>
        <w:tc>
          <w:tcPr>
            <w:tcW w:w="2160" w:type="dxa"/>
          </w:tcPr>
          <w:p w14:paraId="1ABDB922" w14:textId="77777777" w:rsidR="00750B01" w:rsidRDefault="00000000">
            <w:r>
              <w:t>✅ Structural</w:t>
            </w:r>
          </w:p>
        </w:tc>
      </w:tr>
      <w:tr w:rsidR="00750B01" w14:paraId="0CD51713" w14:textId="77777777">
        <w:tc>
          <w:tcPr>
            <w:tcW w:w="3312" w:type="dxa"/>
          </w:tcPr>
          <w:p w14:paraId="2ED75997" w14:textId="77777777" w:rsidR="00750B01" w:rsidRDefault="00000000">
            <w:r>
              <w:t>Fallback Allowed</w:t>
            </w:r>
          </w:p>
        </w:tc>
        <w:tc>
          <w:tcPr>
            <w:tcW w:w="2160" w:type="dxa"/>
          </w:tcPr>
          <w:p w14:paraId="1694C8CE" w14:textId="77777777" w:rsidR="00750B01" w:rsidRDefault="00000000">
            <w:r>
              <w:t>❌ None</w:t>
            </w:r>
          </w:p>
        </w:tc>
        <w:tc>
          <w:tcPr>
            <w:tcW w:w="2160" w:type="dxa"/>
          </w:tcPr>
          <w:p w14:paraId="64E83D3B" w14:textId="77777777" w:rsidR="00750B01" w:rsidRDefault="00000000">
            <w:r>
              <w:t>✅ Yes</w:t>
            </w:r>
          </w:p>
        </w:tc>
        <w:tc>
          <w:tcPr>
            <w:tcW w:w="2160" w:type="dxa"/>
          </w:tcPr>
          <w:p w14:paraId="3C81FBB1" w14:textId="77777777" w:rsidR="00750B01" w:rsidRDefault="00000000">
            <w:r>
              <w:t>✅ Yes</w:t>
            </w:r>
          </w:p>
        </w:tc>
        <w:tc>
          <w:tcPr>
            <w:tcW w:w="2160" w:type="dxa"/>
          </w:tcPr>
          <w:p w14:paraId="61A1876C" w14:textId="77777777" w:rsidR="00750B01" w:rsidRDefault="00000000">
            <w:r>
              <w:t>✅ Case-by-case</w:t>
            </w:r>
          </w:p>
        </w:tc>
      </w:tr>
      <w:tr w:rsidR="00750B01" w14:paraId="5A0E7FC8" w14:textId="77777777">
        <w:tc>
          <w:tcPr>
            <w:tcW w:w="3312" w:type="dxa"/>
          </w:tcPr>
          <w:p w14:paraId="65E2E966" w14:textId="77777777" w:rsidR="00750B01" w:rsidRDefault="00000000">
            <w:r>
              <w:t>Fork &amp; Replicability</w:t>
            </w:r>
          </w:p>
        </w:tc>
        <w:tc>
          <w:tcPr>
            <w:tcW w:w="2160" w:type="dxa"/>
          </w:tcPr>
          <w:p w14:paraId="4D20E26B" w14:textId="77777777" w:rsidR="00750B01" w:rsidRDefault="00000000">
            <w:r>
              <w:t>✅ Required</w:t>
            </w:r>
          </w:p>
        </w:tc>
        <w:tc>
          <w:tcPr>
            <w:tcW w:w="2160" w:type="dxa"/>
          </w:tcPr>
          <w:p w14:paraId="019B0016" w14:textId="77777777" w:rsidR="00750B01" w:rsidRDefault="00000000">
            <w:r>
              <w:t>❌</w:t>
            </w:r>
          </w:p>
        </w:tc>
        <w:tc>
          <w:tcPr>
            <w:tcW w:w="2160" w:type="dxa"/>
          </w:tcPr>
          <w:p w14:paraId="325EFDF8" w14:textId="77777777" w:rsidR="00750B01" w:rsidRDefault="00000000">
            <w:r>
              <w:t>❌</w:t>
            </w:r>
          </w:p>
        </w:tc>
        <w:tc>
          <w:tcPr>
            <w:tcW w:w="2160" w:type="dxa"/>
          </w:tcPr>
          <w:p w14:paraId="0141F2DC" w14:textId="77777777" w:rsidR="00750B01" w:rsidRDefault="00000000">
            <w:r>
              <w:t>❌</w:t>
            </w:r>
          </w:p>
        </w:tc>
      </w:tr>
    </w:tbl>
    <w:p w14:paraId="7948F109" w14:textId="77777777" w:rsidR="00750B01" w:rsidRDefault="00000000">
      <w:pPr>
        <w:pStyle w:val="berschrift2"/>
      </w:pPr>
      <w:r>
        <w:t>Policy &amp; Institutional Scenarios</w:t>
      </w:r>
    </w:p>
    <w:p w14:paraId="7E53DE00" w14:textId="77777777" w:rsidR="00750B01" w:rsidRDefault="00000000">
      <w:r>
        <w:t>Government Use Case:</w:t>
      </w:r>
      <w:r>
        <w:br/>
        <w:t>- Digital Register Updates (e.g., Land/Company)</w:t>
      </w:r>
      <w:r>
        <w:br/>
        <w:t xml:space="preserve">  - SACA enforces: Only signed roles can trigger a change</w:t>
      </w:r>
      <w:r>
        <w:br/>
        <w:t xml:space="preserve">  - Rule source: National law + policy register</w:t>
      </w:r>
    </w:p>
    <w:p w14:paraId="7278B064" w14:textId="77777777" w:rsidR="00750B01" w:rsidRDefault="00000000">
      <w:pPr>
        <w:pStyle w:val="berschrift2"/>
      </w:pPr>
      <w:r>
        <w:t>Roadmap to Readiness</w:t>
      </w:r>
    </w:p>
    <w:p w14:paraId="1B13D90D" w14:textId="1A72EFE0" w:rsidR="00750B01" w:rsidRDefault="00000000" w:rsidP="006D4801">
      <w:pPr>
        <w:pStyle w:val="Listenabsatz"/>
        <w:numPr>
          <w:ilvl w:val="0"/>
          <w:numId w:val="10"/>
        </w:numPr>
      </w:pPr>
      <w:r>
        <w:t>Identify critical execution zones</w:t>
      </w:r>
      <w:r>
        <w:br/>
        <w:t>2. Implement open-access policy registry</w:t>
      </w:r>
      <w:r>
        <w:br/>
        <w:t>3. Launch SACA-certified infrastructure pilot (capsule-first)</w:t>
      </w:r>
    </w:p>
    <w:p w14:paraId="25752757" w14:textId="77777777" w:rsidR="006D4801" w:rsidRDefault="006D4801" w:rsidP="006D4801"/>
    <w:p w14:paraId="637A90C7" w14:textId="77777777" w:rsidR="00750B01" w:rsidRDefault="00000000">
      <w:pPr>
        <w:pStyle w:val="berschrift2"/>
      </w:pPr>
      <w:r>
        <w:lastRenderedPageBreak/>
        <w:t>Political Program Mapping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430"/>
        <w:gridCol w:w="5426"/>
      </w:tblGrid>
      <w:tr w:rsidR="00750B01" w14:paraId="1CB4B612" w14:textId="77777777">
        <w:tc>
          <w:tcPr>
            <w:tcW w:w="3600" w:type="dxa"/>
          </w:tcPr>
          <w:p w14:paraId="7010FFF3" w14:textId="77777777" w:rsidR="00750B01" w:rsidRDefault="00000000">
            <w:r>
              <w:rPr>
                <w:b/>
              </w:rPr>
              <w:t>Initiative / Regulation</w:t>
            </w:r>
          </w:p>
        </w:tc>
        <w:tc>
          <w:tcPr>
            <w:tcW w:w="5760" w:type="dxa"/>
          </w:tcPr>
          <w:p w14:paraId="57380F6D" w14:textId="77777777" w:rsidR="00750B01" w:rsidRDefault="00000000">
            <w:r>
              <w:rPr>
                <w:b/>
              </w:rPr>
              <w:t>Relevance to SACA</w:t>
            </w:r>
          </w:p>
        </w:tc>
      </w:tr>
      <w:tr w:rsidR="00750B01" w14:paraId="0705FCEB" w14:textId="77777777">
        <w:tc>
          <w:tcPr>
            <w:tcW w:w="3600" w:type="dxa"/>
          </w:tcPr>
          <w:p w14:paraId="5BB99279" w14:textId="77777777" w:rsidR="00750B01" w:rsidRDefault="00000000">
            <w:r>
              <w:t>Digital Services Act (DSA)</w:t>
            </w:r>
          </w:p>
        </w:tc>
        <w:tc>
          <w:tcPr>
            <w:tcW w:w="5760" w:type="dxa"/>
          </w:tcPr>
          <w:p w14:paraId="79352629" w14:textId="77777777" w:rsidR="00750B01" w:rsidRDefault="00000000">
            <w:r>
              <w:t>Structural traceability, audit logging</w:t>
            </w:r>
          </w:p>
        </w:tc>
      </w:tr>
      <w:tr w:rsidR="00750B01" w14:paraId="356B616F" w14:textId="77777777">
        <w:tc>
          <w:tcPr>
            <w:tcW w:w="3600" w:type="dxa"/>
          </w:tcPr>
          <w:p w14:paraId="0BC466F7" w14:textId="77777777" w:rsidR="00750B01" w:rsidRDefault="00000000">
            <w:r>
              <w:t>Interoperable Europe Act</w:t>
            </w:r>
          </w:p>
        </w:tc>
        <w:tc>
          <w:tcPr>
            <w:tcW w:w="5760" w:type="dxa"/>
          </w:tcPr>
          <w:p w14:paraId="08AECFED" w14:textId="77777777" w:rsidR="00750B01" w:rsidRDefault="00000000">
            <w:r>
              <w:t>Modular control &amp; verifiability across systems</w:t>
            </w:r>
          </w:p>
        </w:tc>
      </w:tr>
      <w:tr w:rsidR="00750B01" w14:paraId="7553EFCE" w14:textId="77777777">
        <w:tc>
          <w:tcPr>
            <w:tcW w:w="3600" w:type="dxa"/>
          </w:tcPr>
          <w:p w14:paraId="7385AAD9" w14:textId="77777777" w:rsidR="00750B01" w:rsidRDefault="00000000">
            <w:r>
              <w:t>DOME Initiative</w:t>
            </w:r>
          </w:p>
        </w:tc>
        <w:tc>
          <w:tcPr>
            <w:tcW w:w="5760" w:type="dxa"/>
          </w:tcPr>
          <w:p w14:paraId="69F84AA1" w14:textId="77777777" w:rsidR="00750B01" w:rsidRDefault="00000000">
            <w:r>
              <w:t>Secure, enforceable digital infrastructures</w:t>
            </w:r>
          </w:p>
        </w:tc>
      </w:tr>
      <w:tr w:rsidR="00750B01" w14:paraId="07B55DB5" w14:textId="77777777">
        <w:tc>
          <w:tcPr>
            <w:tcW w:w="3600" w:type="dxa"/>
          </w:tcPr>
          <w:p w14:paraId="3023B290" w14:textId="77777777" w:rsidR="00750B01" w:rsidRDefault="00000000">
            <w:r>
              <w:t>Gaia-X</w:t>
            </w:r>
          </w:p>
        </w:tc>
        <w:tc>
          <w:tcPr>
            <w:tcW w:w="5760" w:type="dxa"/>
          </w:tcPr>
          <w:p w14:paraId="64861A8C" w14:textId="77777777" w:rsidR="00750B01" w:rsidRDefault="00000000">
            <w:r>
              <w:t>Policy-based execution, federation-level auditability</w:t>
            </w:r>
          </w:p>
        </w:tc>
      </w:tr>
      <w:tr w:rsidR="00750B01" w14:paraId="3A00A359" w14:textId="77777777">
        <w:tc>
          <w:tcPr>
            <w:tcW w:w="3600" w:type="dxa"/>
          </w:tcPr>
          <w:p w14:paraId="53D88AFF" w14:textId="77777777" w:rsidR="00750B01" w:rsidRDefault="00000000">
            <w:r>
              <w:t>Data Governance Act</w:t>
            </w:r>
          </w:p>
        </w:tc>
        <w:tc>
          <w:tcPr>
            <w:tcW w:w="5760" w:type="dxa"/>
          </w:tcPr>
          <w:p w14:paraId="355932DA" w14:textId="77777777" w:rsidR="00750B01" w:rsidRDefault="00000000">
            <w:r>
              <w:t>Enforcement over soft interpretation</w:t>
            </w:r>
          </w:p>
        </w:tc>
      </w:tr>
    </w:tbl>
    <w:p w14:paraId="4587521E" w14:textId="77777777" w:rsidR="00750B01" w:rsidRDefault="00000000">
      <w:pPr>
        <w:pStyle w:val="berschrift1"/>
      </w:pPr>
      <w:r>
        <w:t>Part 6: Licensing and Enforcement</w:t>
      </w:r>
    </w:p>
    <w:p w14:paraId="736618FE" w14:textId="77777777" w:rsidR="00750B01" w:rsidRDefault="00000000">
      <w:r>
        <w:t>- SACA is open, but conditional</w:t>
      </w:r>
      <w:r>
        <w:br/>
        <w:t>- Any system claiming SACA compliance must:</w:t>
      </w:r>
      <w:r>
        <w:br/>
        <w:t xml:space="preserve">  - Preserve rule-role integrity</w:t>
      </w:r>
      <w:r>
        <w:br/>
        <w:t xml:space="preserve">  - Maintain capsule audit trails</w:t>
      </w:r>
      <w:r>
        <w:br/>
        <w:t xml:space="preserve">  - Allow public fork replication</w:t>
      </w:r>
      <w:r>
        <w:br/>
        <w:t>- Systems allowing unauditable overrides or non-signed execution are not SACA-compliant</w:t>
      </w:r>
    </w:p>
    <w:p w14:paraId="2ED9CF25" w14:textId="77777777" w:rsidR="00750B01" w:rsidRDefault="00000000">
      <w:pPr>
        <w:pStyle w:val="berschrift1"/>
      </w:pPr>
      <w:r>
        <w:t>Appendix A: Structural Enforcement vs Policy Governance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3177"/>
        <w:gridCol w:w="2569"/>
        <w:gridCol w:w="3110"/>
      </w:tblGrid>
      <w:tr w:rsidR="00750B01" w14:paraId="09FAAFE3" w14:textId="77777777">
        <w:tc>
          <w:tcPr>
            <w:tcW w:w="3600" w:type="dxa"/>
          </w:tcPr>
          <w:p w14:paraId="74EC967B" w14:textId="77777777" w:rsidR="00750B01" w:rsidRDefault="00000000">
            <w:r>
              <w:rPr>
                <w:b/>
              </w:rPr>
              <w:t>Characteristic</w:t>
            </w:r>
          </w:p>
        </w:tc>
        <w:tc>
          <w:tcPr>
            <w:tcW w:w="2880" w:type="dxa"/>
          </w:tcPr>
          <w:p w14:paraId="3355D6EF" w14:textId="77777777" w:rsidR="00750B01" w:rsidRDefault="00000000">
            <w:r>
              <w:rPr>
                <w:b/>
              </w:rPr>
              <w:t>Policy-based Governance</w:t>
            </w:r>
          </w:p>
        </w:tc>
        <w:tc>
          <w:tcPr>
            <w:tcW w:w="3600" w:type="dxa"/>
          </w:tcPr>
          <w:p w14:paraId="7F23582D" w14:textId="77777777" w:rsidR="00750B01" w:rsidRDefault="00000000">
            <w:r>
              <w:rPr>
                <w:b/>
              </w:rPr>
              <w:t>SACA</w:t>
            </w:r>
          </w:p>
        </w:tc>
      </w:tr>
      <w:tr w:rsidR="00750B01" w14:paraId="2E49931E" w14:textId="77777777">
        <w:tc>
          <w:tcPr>
            <w:tcW w:w="3600" w:type="dxa"/>
          </w:tcPr>
          <w:p w14:paraId="713A3C8D" w14:textId="77777777" w:rsidR="00750B01" w:rsidRDefault="00000000">
            <w:r>
              <w:t>Control Type</w:t>
            </w:r>
          </w:p>
        </w:tc>
        <w:tc>
          <w:tcPr>
            <w:tcW w:w="2880" w:type="dxa"/>
          </w:tcPr>
          <w:p w14:paraId="6231EA0D" w14:textId="77777777" w:rsidR="00750B01" w:rsidRDefault="00000000">
            <w:r>
              <w:t>Advisory</w:t>
            </w:r>
          </w:p>
        </w:tc>
        <w:tc>
          <w:tcPr>
            <w:tcW w:w="3600" w:type="dxa"/>
          </w:tcPr>
          <w:p w14:paraId="2FECE63E" w14:textId="77777777" w:rsidR="00750B01" w:rsidRDefault="00000000">
            <w:r>
              <w:t>Structural</w:t>
            </w:r>
          </w:p>
        </w:tc>
      </w:tr>
      <w:tr w:rsidR="00750B01" w14:paraId="776386C0" w14:textId="77777777">
        <w:tc>
          <w:tcPr>
            <w:tcW w:w="3600" w:type="dxa"/>
          </w:tcPr>
          <w:p w14:paraId="579DC163" w14:textId="77777777" w:rsidR="00750B01" w:rsidRDefault="00000000">
            <w:r>
              <w:t>Enforcement Moment</w:t>
            </w:r>
          </w:p>
        </w:tc>
        <w:tc>
          <w:tcPr>
            <w:tcW w:w="2880" w:type="dxa"/>
          </w:tcPr>
          <w:p w14:paraId="5A10C47C" w14:textId="77777777" w:rsidR="00750B01" w:rsidRDefault="00000000">
            <w:r>
              <w:t>Post-hoc</w:t>
            </w:r>
          </w:p>
        </w:tc>
        <w:tc>
          <w:tcPr>
            <w:tcW w:w="3600" w:type="dxa"/>
          </w:tcPr>
          <w:p w14:paraId="504EBADD" w14:textId="77777777" w:rsidR="00750B01" w:rsidRDefault="00000000">
            <w:r>
              <w:t>Pre-execution</w:t>
            </w:r>
          </w:p>
        </w:tc>
      </w:tr>
      <w:tr w:rsidR="00750B01" w14:paraId="3D2B811C" w14:textId="77777777">
        <w:tc>
          <w:tcPr>
            <w:tcW w:w="3600" w:type="dxa"/>
          </w:tcPr>
          <w:p w14:paraId="4035651E" w14:textId="77777777" w:rsidR="00750B01" w:rsidRDefault="00000000">
            <w:r>
              <w:t>Responsibility Assignment</w:t>
            </w:r>
          </w:p>
        </w:tc>
        <w:tc>
          <w:tcPr>
            <w:tcW w:w="2880" w:type="dxa"/>
          </w:tcPr>
          <w:p w14:paraId="5B7502FE" w14:textId="77777777" w:rsidR="00750B01" w:rsidRDefault="00000000">
            <w:r>
              <w:t>Interpretive</w:t>
            </w:r>
          </w:p>
        </w:tc>
        <w:tc>
          <w:tcPr>
            <w:tcW w:w="3600" w:type="dxa"/>
          </w:tcPr>
          <w:p w14:paraId="3300B4F9" w14:textId="77777777" w:rsidR="00750B01" w:rsidRDefault="00000000">
            <w:r>
              <w:t>Signature-locked</w:t>
            </w:r>
          </w:p>
        </w:tc>
      </w:tr>
      <w:tr w:rsidR="00750B01" w14:paraId="180FFDCE" w14:textId="77777777">
        <w:tc>
          <w:tcPr>
            <w:tcW w:w="3600" w:type="dxa"/>
          </w:tcPr>
          <w:p w14:paraId="4904E20B" w14:textId="77777777" w:rsidR="00750B01" w:rsidRDefault="00000000">
            <w:r>
              <w:t>System Trust Model</w:t>
            </w:r>
          </w:p>
        </w:tc>
        <w:tc>
          <w:tcPr>
            <w:tcW w:w="2880" w:type="dxa"/>
          </w:tcPr>
          <w:p w14:paraId="5B6095CA" w14:textId="77777777" w:rsidR="00750B01" w:rsidRDefault="00000000">
            <w:r>
              <w:t>Human-mediated</w:t>
            </w:r>
          </w:p>
        </w:tc>
        <w:tc>
          <w:tcPr>
            <w:tcW w:w="3600" w:type="dxa"/>
          </w:tcPr>
          <w:p w14:paraId="235F3F66" w14:textId="77777777" w:rsidR="00750B01" w:rsidRDefault="00000000">
            <w:r>
              <w:t>Machine-verifiable</w:t>
            </w:r>
          </w:p>
        </w:tc>
      </w:tr>
    </w:tbl>
    <w:p w14:paraId="388881D5" w14:textId="77777777" w:rsidR="00750B01" w:rsidRDefault="00000000">
      <w:pPr>
        <w:pStyle w:val="berschrift1"/>
      </w:pPr>
      <w:r>
        <w:t>Appendix B: Structural Security Measures</w:t>
      </w:r>
    </w:p>
    <w:p w14:paraId="67E9927B" w14:textId="77777777" w:rsidR="00750B01" w:rsidRDefault="00000000">
      <w:r>
        <w:t>SACA systems enforce security by structural impossibility:</w:t>
      </w:r>
      <w:r>
        <w:br/>
        <w:t>- No mutable execution paths</w:t>
      </w:r>
      <w:r>
        <w:br/>
        <w:t>- No runtime injection</w:t>
      </w:r>
      <w:r>
        <w:br/>
        <w:t>- No role spoofing</w:t>
      </w:r>
      <w:r>
        <w:br/>
        <w:t>- No unsigned behavior allowance</w:t>
      </w:r>
    </w:p>
    <w:p w14:paraId="06A56B2E" w14:textId="77777777" w:rsidR="00750B01" w:rsidRDefault="00000000">
      <w:pPr>
        <w:pStyle w:val="berschrift1"/>
      </w:pPr>
      <w:r>
        <w:t>Appendix C: Community and Infrastructure Relevance</w:t>
      </w:r>
    </w:p>
    <w:p w14:paraId="130D65CE" w14:textId="77777777" w:rsidR="00750B01" w:rsidRDefault="00000000">
      <w:r>
        <w:t>- Forkable doesn’t mean vulnerable – forks are licensed, signed, and auditable</w:t>
      </w:r>
      <w:r>
        <w:br/>
        <w:t>- Community governance anchored by capsule-continuity and signature verification</w:t>
      </w:r>
      <w:r>
        <w:br/>
        <w:t>- Supports contributor integrity models in OSS environments (e.g. CNCF, OpenSSF)</w:t>
      </w:r>
    </w:p>
    <w:p w14:paraId="1210AE2F" w14:textId="77777777" w:rsidR="006D4801" w:rsidRDefault="006D4801">
      <w:pPr>
        <w:pStyle w:val="berschrift1"/>
      </w:pPr>
    </w:p>
    <w:p w14:paraId="04075C1E" w14:textId="08E69C8E" w:rsidR="00750B01" w:rsidRDefault="00000000">
      <w:pPr>
        <w:pStyle w:val="berschrift1"/>
      </w:pPr>
      <w:r>
        <w:t>Glossary (Extract)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585"/>
        <w:gridCol w:w="6271"/>
      </w:tblGrid>
      <w:tr w:rsidR="00750B01" w14:paraId="1583BF48" w14:textId="77777777">
        <w:tc>
          <w:tcPr>
            <w:tcW w:w="2880" w:type="dxa"/>
          </w:tcPr>
          <w:p w14:paraId="29659AEE" w14:textId="77777777" w:rsidR="00750B01" w:rsidRDefault="00000000">
            <w:r>
              <w:rPr>
                <w:b/>
              </w:rPr>
              <w:t>Term</w:t>
            </w:r>
          </w:p>
        </w:tc>
        <w:tc>
          <w:tcPr>
            <w:tcW w:w="7200" w:type="dxa"/>
          </w:tcPr>
          <w:p w14:paraId="39F5607F" w14:textId="77777777" w:rsidR="00750B01" w:rsidRDefault="00000000">
            <w:r>
              <w:rPr>
                <w:b/>
              </w:rPr>
              <w:t>Definition</w:t>
            </w:r>
          </w:p>
        </w:tc>
      </w:tr>
      <w:tr w:rsidR="00750B01" w14:paraId="539E0E42" w14:textId="77777777">
        <w:tc>
          <w:tcPr>
            <w:tcW w:w="2880" w:type="dxa"/>
          </w:tcPr>
          <w:p w14:paraId="7A4DEA25" w14:textId="77777777" w:rsidR="00750B01" w:rsidRDefault="00000000">
            <w:r>
              <w:t>Capsule</w:t>
            </w:r>
          </w:p>
        </w:tc>
        <w:tc>
          <w:tcPr>
            <w:tcW w:w="7200" w:type="dxa"/>
          </w:tcPr>
          <w:p w14:paraId="1A1C881A" w14:textId="77777777" w:rsidR="00750B01" w:rsidRDefault="00000000">
            <w:r>
              <w:t>Isolated execution unit with structural preconditions</w:t>
            </w:r>
          </w:p>
        </w:tc>
      </w:tr>
      <w:tr w:rsidR="00750B01" w14:paraId="068F6461" w14:textId="77777777">
        <w:tc>
          <w:tcPr>
            <w:tcW w:w="2880" w:type="dxa"/>
          </w:tcPr>
          <w:p w14:paraId="7195D862" w14:textId="77777777" w:rsidR="00750B01" w:rsidRDefault="00000000">
            <w:r>
              <w:t>Forkability</w:t>
            </w:r>
          </w:p>
        </w:tc>
        <w:tc>
          <w:tcPr>
            <w:tcW w:w="7200" w:type="dxa"/>
          </w:tcPr>
          <w:p w14:paraId="1C9B22B6" w14:textId="77777777" w:rsidR="00750B01" w:rsidRDefault="00000000">
            <w:r>
              <w:t>Right to independently verify, copy, and re-anchor a system implementation</w:t>
            </w:r>
          </w:p>
        </w:tc>
      </w:tr>
      <w:tr w:rsidR="00750B01" w14:paraId="5956CAFD" w14:textId="77777777">
        <w:tc>
          <w:tcPr>
            <w:tcW w:w="2880" w:type="dxa"/>
          </w:tcPr>
          <w:p w14:paraId="460AA2EC" w14:textId="77777777" w:rsidR="00750B01" w:rsidRDefault="00000000">
            <w:r>
              <w:t>Execution Blockade</w:t>
            </w:r>
          </w:p>
        </w:tc>
        <w:tc>
          <w:tcPr>
            <w:tcW w:w="7200" w:type="dxa"/>
          </w:tcPr>
          <w:p w14:paraId="21190EBA" w14:textId="77777777" w:rsidR="00750B01" w:rsidRDefault="00000000">
            <w:r>
              <w:t>Prevention of execution when any condition is unmet</w:t>
            </w:r>
          </w:p>
        </w:tc>
      </w:tr>
      <w:tr w:rsidR="00750B01" w14:paraId="03DDD4D7" w14:textId="77777777">
        <w:tc>
          <w:tcPr>
            <w:tcW w:w="2880" w:type="dxa"/>
          </w:tcPr>
          <w:p w14:paraId="71B62872" w14:textId="77777777" w:rsidR="00750B01" w:rsidRDefault="00000000">
            <w:r>
              <w:t>Role Binding</w:t>
            </w:r>
          </w:p>
        </w:tc>
        <w:tc>
          <w:tcPr>
            <w:tcW w:w="7200" w:type="dxa"/>
          </w:tcPr>
          <w:p w14:paraId="743A83C3" w14:textId="77777777" w:rsidR="00750B01" w:rsidRDefault="00000000">
            <w:r>
              <w:t>Cryptographically enforced identity-permission linkage</w:t>
            </w:r>
          </w:p>
        </w:tc>
      </w:tr>
    </w:tbl>
    <w:p w14:paraId="703AFF77" w14:textId="77777777" w:rsidR="00750B01" w:rsidRDefault="00000000">
      <w:pPr>
        <w:pStyle w:val="berschrift1"/>
      </w:pPr>
      <w:r>
        <w:t>Final Note</w:t>
      </w:r>
    </w:p>
    <w:p w14:paraId="22675D63" w14:textId="77777777" w:rsidR="00750B01" w:rsidRDefault="00000000">
      <w:r>
        <w:t>SACA is not optional, not approximate, and not suggestive. It is binary: either structurally enforced, or non-compliant.</w:t>
      </w:r>
      <w:r>
        <w:br/>
      </w:r>
      <w:r>
        <w:br/>
        <w:t>It redefines digital responsibility not as an interpretive process – but as an execution condition.</w:t>
      </w:r>
      <w:r>
        <w:br/>
      </w:r>
      <w:r>
        <w:br/>
        <w:t>Nothing runs unless responsibility is embedded.</w:t>
      </w:r>
    </w:p>
    <w:sectPr w:rsidR="00750B01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ennumm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ennumm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Aufzhlungszeichen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Aufzhlungszeichen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68735FF5"/>
    <w:multiLevelType w:val="hybridMultilevel"/>
    <w:tmpl w:val="82E4DD9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5343871">
    <w:abstractNumId w:val="8"/>
  </w:num>
  <w:num w:numId="2" w16cid:durableId="1175412483">
    <w:abstractNumId w:val="6"/>
  </w:num>
  <w:num w:numId="3" w16cid:durableId="780299855">
    <w:abstractNumId w:val="5"/>
  </w:num>
  <w:num w:numId="4" w16cid:durableId="496845681">
    <w:abstractNumId w:val="4"/>
  </w:num>
  <w:num w:numId="5" w16cid:durableId="1626080087">
    <w:abstractNumId w:val="7"/>
  </w:num>
  <w:num w:numId="6" w16cid:durableId="632910358">
    <w:abstractNumId w:val="3"/>
  </w:num>
  <w:num w:numId="7" w16cid:durableId="586042191">
    <w:abstractNumId w:val="2"/>
  </w:num>
  <w:num w:numId="8" w16cid:durableId="1861698522">
    <w:abstractNumId w:val="1"/>
  </w:num>
  <w:num w:numId="9" w16cid:durableId="1971351489">
    <w:abstractNumId w:val="0"/>
  </w:num>
  <w:num w:numId="10" w16cid:durableId="100928508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6D4801"/>
    <w:rsid w:val="00750B01"/>
    <w:rsid w:val="00754186"/>
    <w:rsid w:val="00976E32"/>
    <w:rsid w:val="00AA1D8D"/>
    <w:rsid w:val="00B47730"/>
    <w:rsid w:val="00CB0664"/>
    <w:rsid w:val="00E07A77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4062061"/>
  <w14:defaultImageDpi w14:val="300"/>
  <w15:docId w15:val="{7E7A5412-8EA0-4819-AA9D-5CBB5029F5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693F"/>
    <w:rPr>
      <w:rFonts w:ascii="Calibri" w:hAnsi="Calibri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618BF"/>
  </w:style>
  <w:style w:type="paragraph" w:styleId="Fuzeile">
    <w:name w:val="footer"/>
    <w:basedOn w:val="Standard"/>
    <w:link w:val="FuzeileZchn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618BF"/>
  </w:style>
  <w:style w:type="paragraph" w:styleId="KeinLeerraum">
    <w:name w:val="No Spacing"/>
    <w:uiPriority w:val="1"/>
    <w:qFormat/>
    <w:rsid w:val="00FC693F"/>
    <w:pPr>
      <w:spacing w:after="0" w:line="240" w:lineRule="auto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el">
    <w:name w:val="Title"/>
    <w:basedOn w:val="Standard"/>
    <w:next w:val="Standard"/>
    <w:link w:val="TitelZchn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nabsatz">
    <w:name w:val="List Paragraph"/>
    <w:basedOn w:val="Standard"/>
    <w:uiPriority w:val="34"/>
    <w:qFormat/>
    <w:rsid w:val="00FC693F"/>
    <w:pPr>
      <w:ind w:left="720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AA1D8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AA1D8D"/>
  </w:style>
  <w:style w:type="paragraph" w:styleId="Textkrper2">
    <w:name w:val="Body Text 2"/>
    <w:basedOn w:val="Standard"/>
    <w:link w:val="Textkrper2Zchn"/>
    <w:uiPriority w:val="99"/>
    <w:unhideWhenUsed/>
    <w:rsid w:val="00AA1D8D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rsid w:val="00AA1D8D"/>
  </w:style>
  <w:style w:type="paragraph" w:styleId="Textkrper3">
    <w:name w:val="Body Text 3"/>
    <w:basedOn w:val="Standard"/>
    <w:link w:val="Textkrper3Zchn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rsid w:val="00AA1D8D"/>
    <w:rPr>
      <w:sz w:val="16"/>
      <w:szCs w:val="16"/>
    </w:rPr>
  </w:style>
  <w:style w:type="paragraph" w:styleId="Liste">
    <w:name w:val="List"/>
    <w:basedOn w:val="Standard"/>
    <w:uiPriority w:val="99"/>
    <w:unhideWhenUsed/>
    <w:rsid w:val="00AA1D8D"/>
    <w:pPr>
      <w:ind w:left="360" w:hanging="360"/>
      <w:contextualSpacing/>
    </w:pPr>
  </w:style>
  <w:style w:type="paragraph" w:styleId="Liste2">
    <w:name w:val="List 2"/>
    <w:basedOn w:val="Standard"/>
    <w:uiPriority w:val="99"/>
    <w:unhideWhenUsed/>
    <w:rsid w:val="00326F90"/>
    <w:pPr>
      <w:ind w:left="720" w:hanging="360"/>
      <w:contextualSpacing/>
    </w:pPr>
  </w:style>
  <w:style w:type="paragraph" w:styleId="Liste3">
    <w:name w:val="List 3"/>
    <w:basedOn w:val="Standard"/>
    <w:uiPriority w:val="99"/>
    <w:unhideWhenUsed/>
    <w:rsid w:val="00326F90"/>
    <w:pPr>
      <w:ind w:left="1080" w:hanging="360"/>
      <w:contextualSpacing/>
    </w:pPr>
  </w:style>
  <w:style w:type="paragraph" w:styleId="Aufzhlungszeichen">
    <w:name w:val="List Bullet"/>
    <w:basedOn w:val="Standard"/>
    <w:uiPriority w:val="99"/>
    <w:unhideWhenUsed/>
    <w:rsid w:val="00326F90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unhideWhenUsed/>
    <w:rsid w:val="00326F90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unhideWhenUsed/>
    <w:rsid w:val="00326F90"/>
    <w:pPr>
      <w:numPr>
        <w:numId w:val="3"/>
      </w:numPr>
      <w:contextualSpacing/>
    </w:pPr>
  </w:style>
  <w:style w:type="paragraph" w:styleId="Listennummer">
    <w:name w:val="List Number"/>
    <w:basedOn w:val="Standard"/>
    <w:uiPriority w:val="99"/>
    <w:unhideWhenUsed/>
    <w:rsid w:val="00326F90"/>
    <w:pPr>
      <w:numPr>
        <w:numId w:val="5"/>
      </w:numPr>
      <w:contextualSpacing/>
    </w:pPr>
  </w:style>
  <w:style w:type="paragraph" w:styleId="Listennummer2">
    <w:name w:val="List Number 2"/>
    <w:basedOn w:val="Standard"/>
    <w:uiPriority w:val="99"/>
    <w:unhideWhenUsed/>
    <w:rsid w:val="0029639D"/>
    <w:pPr>
      <w:numPr>
        <w:numId w:val="6"/>
      </w:numPr>
      <w:contextualSpacing/>
    </w:pPr>
  </w:style>
  <w:style w:type="paragraph" w:styleId="Listennummer3">
    <w:name w:val="List Number 3"/>
    <w:basedOn w:val="Standard"/>
    <w:uiPriority w:val="99"/>
    <w:unhideWhenUsed/>
    <w:rsid w:val="0029639D"/>
    <w:pPr>
      <w:numPr>
        <w:numId w:val="7"/>
      </w:numPr>
      <w:contextualSpacing/>
    </w:pPr>
  </w:style>
  <w:style w:type="paragraph" w:styleId="Listenfortsetzung">
    <w:name w:val="List Continue"/>
    <w:basedOn w:val="Standard"/>
    <w:uiPriority w:val="99"/>
    <w:unhideWhenUsed/>
    <w:rsid w:val="0029639D"/>
    <w:pPr>
      <w:spacing w:after="120"/>
      <w:ind w:left="360"/>
      <w:contextualSpacing/>
    </w:pPr>
  </w:style>
  <w:style w:type="paragraph" w:styleId="Listenfortsetzung2">
    <w:name w:val="List Continue 2"/>
    <w:basedOn w:val="Standard"/>
    <w:uiPriority w:val="99"/>
    <w:unhideWhenUsed/>
    <w:rsid w:val="0029639D"/>
    <w:pPr>
      <w:spacing w:after="120"/>
      <w:ind w:left="720"/>
      <w:contextualSpacing/>
    </w:pPr>
  </w:style>
  <w:style w:type="paragraph" w:styleId="Listenfortsetzung3">
    <w:name w:val="List Continue 3"/>
    <w:basedOn w:val="Standard"/>
    <w:uiPriority w:val="99"/>
    <w:unhideWhenUsed/>
    <w:rsid w:val="0029639D"/>
    <w:pPr>
      <w:spacing w:after="120"/>
      <w:ind w:left="1080"/>
      <w:contextualSpacing/>
    </w:pPr>
  </w:style>
  <w:style w:type="paragraph" w:styleId="Makrotext">
    <w:name w:val="macro"/>
    <w:link w:val="MakrotextZchn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rsid w:val="0029639D"/>
    <w:rPr>
      <w:rFonts w:ascii="Courier" w:hAnsi="Courier"/>
      <w:sz w:val="20"/>
      <w:szCs w:val="20"/>
    </w:rPr>
  </w:style>
  <w:style w:type="paragraph" w:styleId="Zitat">
    <w:name w:val="Quote"/>
    <w:basedOn w:val="Standard"/>
    <w:next w:val="Standard"/>
    <w:link w:val="ZitatZchn"/>
    <w:uiPriority w:val="29"/>
    <w:qFormat/>
    <w:rsid w:val="00FC693F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FC693F"/>
    <w:rPr>
      <w:i/>
      <w:iCs/>
      <w:color w:val="000000" w:themeColor="tex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C693F"/>
    <w:rPr>
      <w:b/>
      <w:bCs/>
    </w:rPr>
  </w:style>
  <w:style w:type="character" w:styleId="Hervorhebung">
    <w:name w:val="Emphasis"/>
    <w:basedOn w:val="Absatz-Standardschriftart"/>
    <w:uiPriority w:val="20"/>
    <w:qFormat/>
    <w:rsid w:val="00FC693F"/>
    <w:rPr>
      <w:i/>
      <w:iCs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C693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FC693F"/>
    <w:rPr>
      <w:i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21"/>
    <w:qFormat/>
    <w:rsid w:val="00FC693F"/>
    <w:rPr>
      <w:b/>
      <w:bCs/>
      <w:i/>
      <w:iCs/>
      <w:color w:val="4F81BD" w:themeColor="accent1"/>
    </w:rPr>
  </w:style>
  <w:style w:type="character" w:styleId="SchwacherVerweis">
    <w:name w:val="Subtle Reference"/>
    <w:basedOn w:val="Absatz-Standardschriftart"/>
    <w:uiPriority w:val="31"/>
    <w:qFormat/>
    <w:rsid w:val="00FC693F"/>
    <w:rPr>
      <w:smallCaps/>
      <w:color w:val="C0504D" w:themeColor="accent2"/>
      <w:u w:val="single"/>
    </w:rPr>
  </w:style>
  <w:style w:type="character" w:styleId="IntensiverVerweis">
    <w:name w:val="Intense Reference"/>
    <w:basedOn w:val="Absatz-Standardschriftar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qFormat/>
    <w:rsid w:val="00FC693F"/>
    <w:rPr>
      <w:b/>
      <w:b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FC693F"/>
    <w:pPr>
      <w:outlineLvl w:val="9"/>
    </w:pPr>
  </w:style>
  <w:style w:type="table" w:styleId="Tabellenraster">
    <w:name w:val="Table Grid"/>
    <w:basedOn w:val="NormaleTabelle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HelleListe">
    <w:name w:val="Light List"/>
    <w:basedOn w:val="NormaleTabelle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HelleListe-Akzent1">
    <w:name w:val="Light List Accent 1"/>
    <w:basedOn w:val="NormaleTabelle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HelleListe-Akzent2">
    <w:name w:val="Light List Accent 2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HelleListe-Akzent3">
    <w:name w:val="Light List Accent 3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HelleListe-Akzent4">
    <w:name w:val="Light List Accent 4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HelleListe-Akzent5">
    <w:name w:val="Light List Accent 5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HelleListe-Akzent6">
    <w:name w:val="Light List Accent 6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HellesRaster">
    <w:name w:val="Light Grid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HellesRaster-Akzent1">
    <w:name w:val="Light Grid Accent 1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HellesRaster-Akzent2">
    <w:name w:val="Light Grid Accent 2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HellesRaster-Akzent3">
    <w:name w:val="Light Grid Accent 3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HellesRaster-Akzent4">
    <w:name w:val="Light Grid Accent 4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HellesRaster-Akzent5">
    <w:name w:val="Light Grid Accent 5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HellesRaster-Akzent6">
    <w:name w:val="Light Grid Accent 6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ittlereSchattierung1">
    <w:name w:val="Medium Shading 1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Liste1">
    <w:name w:val="Medium List 1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ittlereListe1-Akzent1">
    <w:name w:val="Medium List 1 Accent 1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ittlereListe2">
    <w:name w:val="Medium List 2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Raster1">
    <w:name w:val="Medium Grid 1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ittleresRaster2">
    <w:name w:val="Medium Grid 2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unkleListe">
    <w:name w:val="Dark List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unkleListe-Akzent1">
    <w:name w:val="Dark List Accent 1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unkleListe-Akzent2">
    <w:name w:val="Dark List Accent 2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unkleListe-Akzent3">
    <w:name w:val="Dark List Accent 3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unkleListe-Akzent4">
    <w:name w:val="Dark List Accent 4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unkleListe-Akzent5">
    <w:name w:val="Dark List Accent 5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unkleListe-Akzent6">
    <w:name w:val="Dark List Accent 6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FarbigeSchattierung">
    <w:name w:val="Colorful Shading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1">
    <w:name w:val="Colorful Shading Accent 1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2">
    <w:name w:val="Colorful Shading Accent 2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3">
    <w:name w:val="Colorful Shading Accent 3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5">
    <w:name w:val="Colorful Shading Accent 5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6">
    <w:name w:val="Colorful Shading Accent 6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Liste">
    <w:name w:val="Colorful List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FarbigeListe-Akzent1">
    <w:name w:val="Colorful List Accent 1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FarbigeListe-Akzent2">
    <w:name w:val="Colorful List Accent 2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FarbigeListe-Akzent3">
    <w:name w:val="Colorful List Accent 3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FarbigeListe-Akzent5">
    <w:name w:val="Colorful List Accent 5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FarbigeListe-Akzent6">
    <w:name w:val="Colorful List Accent 6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FarbigesRaster">
    <w:name w:val="Colorful Grid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FarbigesRaster-Akzent1">
    <w:name w:val="Colorful Grid Accent 1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1167</Words>
  <Characters>7353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8503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Jan Eidecker</cp:lastModifiedBy>
  <cp:revision>4</cp:revision>
  <dcterms:created xsi:type="dcterms:W3CDTF">2013-12-23T23:15:00Z</dcterms:created>
  <dcterms:modified xsi:type="dcterms:W3CDTF">2025-05-21T23:04:00Z</dcterms:modified>
  <cp:category/>
</cp:coreProperties>
</file>