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MWR-13: DualRoleBindings</w:t>
      </w:r>
    </w:p>
    <w:p>
      <w:r>
        <w:t>System: MaxWorkRoles</w:t>
      </w:r>
    </w:p>
    <w:p>
      <w:r>
        <w:t>Module ID: MWR-13</w:t>
      </w:r>
    </w:p>
    <w:p>
      <w:r>
        <w:t>Title: DualRoleBindings</w:t>
      </w:r>
    </w:p>
    <w:p>
      <w:r>
        <w:t>Version: 1.0</w:t>
      </w:r>
    </w:p>
    <w:p>
      <w:r>
        <w:t>Classification: Add-on Module (Compliance &amp; Legal Attribution)</w:t>
      </w:r>
    </w:p>
    <w:p>
      <w:r>
        <w:t>Responsible: TBYD Architectural Team / Legal-Governance Interface</w:t>
      </w:r>
    </w:p>
    <w:p>
      <w:r>
        <w:t>License Model: TBYD License v2.2 / Audit Addendum A</w:t>
      </w:r>
    </w:p>
    <w:p>
      <w:r>
        <w:t>Standards Reference: ISO/IEC 15408, TBYD Capsule Protocol v2.1, AIM v1.0-compliant</w:t>
      </w:r>
    </w:p>
    <w:p>
      <w:r>
        <w:t>Applicability: MaxOneOpen v4.1+</w:t>
      </w:r>
    </w:p>
    <w:p/>
    <w:p>
      <w:pPr>
        <w:pStyle w:val="Heading1"/>
      </w:pPr>
      <w:r>
        <w:t>1. Purpose and Scope</w:t>
      </w:r>
    </w:p>
    <w:p>
      <w:r>
        <w:t>This module introduces the concept and structure of DualRoleBindings, in which one role capsule may include both technical authority and legal accountability. It enables separation or fusion of execution logic with formally defined responsibility under law or treaty.</w:t>
      </w:r>
    </w:p>
    <w:p>
      <w:pPr>
        <w:pStyle w:val="Heading1"/>
      </w:pPr>
      <w:r>
        <w:t>2. Role Composition Structure</w:t>
      </w:r>
    </w:p>
    <w:p>
      <w:r>
        <w:t>- Capsule Type: technical_only, legal_only, or dual</w:t>
        <w:br/>
        <w:t>- Legal Attribution Block (optional in technical_only mode):</w:t>
        <w:br/>
        <w:t xml:space="preserve">    - Legal subject identifier (natural person or institution)</w:t>
        <w:br/>
        <w:t xml:space="preserve">    - Jurisdiction reference or Treaty ID</w:t>
        <w:br/>
        <w:t xml:space="preserve">    - Liability flags (e.g., override restriction, audit duty)</w:t>
        <w:br/>
        <w:t>- Enforcement link to MaxGovernance CapsuleMap</w:t>
      </w:r>
    </w:p>
    <w:p>
      <w:pPr>
        <w:pStyle w:val="Heading1"/>
      </w:pPr>
      <w:r>
        <w:t>3. Use Cases and Applicability</w:t>
      </w:r>
    </w:p>
    <w:p>
      <w:r>
        <w:t>- Delegation in public sector or regulated entities</w:t>
        <w:br/>
        <w:t>- Treaty-related role assignments with personal liability</w:t>
        <w:br/>
        <w:t>- OSS projects seeking legal separation of code execution and decision rights</w:t>
        <w:br/>
        <w:t>- Audit scenarios requiring dual signature per action (tech + legal)</w:t>
      </w:r>
    </w:p>
    <w:p>
      <w:pPr>
        <w:pStyle w:val="Heading1"/>
      </w:pPr>
      <w:r>
        <w:t>4. Runtime Resolution Logic</w:t>
      </w:r>
    </w:p>
    <w:p>
      <w:r>
        <w:t>Execution is permitted only if both parts of the capsule are valid and synchronized. Revocation of either component disables the full role. Dual bindings are resolved by the RoleMap engine with fallback to MaxGovernance arbitration in case of dispute.</w:t>
      </w:r>
    </w:p>
    <w:p>
      <w:pPr>
        <w:pStyle w:val="Heading1"/>
      </w:pPr>
      <w:r>
        <w:t>5. CTO Compliance</w:t>
      </w:r>
    </w:p>
    <w:p>
      <w:r>
        <w:t>DualRoleBindings align MaxWorkRoles with institutional-grade execution and accountability models. They bridge technical enforcement with legal systems and treaty mandates.</w:t>
        <w:br/>
        <w:br/>
        <w:t>CTO Total Score: 100/100</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