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MaxSuite – AppCapsule Framework</w:t>
      </w:r>
    </w:p>
    <w:p>
      <w:r>
        <w:t>Version: 1.0</w:t>
      </w:r>
    </w:p>
    <w:p>
      <w:r>
        <w:t>Module ID: 01</w:t>
      </w:r>
    </w:p>
    <w:p>
      <w:r>
        <w:t>Document Type: Capsule Structure and Execution Layer</w:t>
      </w:r>
    </w:p>
    <w:p>
      <w:r>
        <w:t>---</w:t>
      </w:r>
    </w:p>
    <w:p>
      <w:pPr>
        <w:pStyle w:val="Heading2"/>
      </w:pPr>
      <w:r>
        <w:t>1. Purpose</w:t>
      </w:r>
    </w:p>
    <w:p>
      <w:r>
        <w:t>This document defines the structural, technical and signing model for MaxSuite AppCapsules. These capsules encapsulate open-source applications with governance-enforced runtime controls, audit trails, and policy-bound execution logic.</w:t>
      </w:r>
    </w:p>
    <w:p>
      <w:pPr>
        <w:pStyle w:val="Heading2"/>
      </w:pPr>
      <w:r>
        <w:t>2. AppCapsule Structure</w:t>
      </w:r>
    </w:p>
    <w:p>
      <w:r>
        <w:t>Each MaxSuite AppCapsule must include the following components:</w:t>
        <w:br/>
        <w:t>- Signed runtime manifest (capsule.yaml)</w:t>
        <w:br/>
        <w:t>- Encrypted or mounted application binaries</w:t>
        <w:br/>
        <w:t>- Policy anchor linking to MaxReg</w:t>
        <w:br/>
        <w:t>- Role binding logic for runtime activation</w:t>
        <w:br/>
        <w:t>- UI isolation metadata (if required)</w:t>
        <w:br/>
        <w:t>- Audit event hooks for capsule execution</w:t>
      </w:r>
    </w:p>
    <w:p>
      <w:pPr>
        <w:pStyle w:val="Heading2"/>
      </w:pPr>
      <w:r>
        <w:t>3. Signature and Validation</w:t>
      </w:r>
    </w:p>
    <w:p>
      <w:r>
        <w:t>Every AppCapsule must be signed with a registered authority key prior to deployment. Signature validation must confirm:</w:t>
        <w:br/>
        <w:t>- Capsule hash integrity</w:t>
        <w:br/>
        <w:t>- Role permission compliance</w:t>
        <w:br/>
        <w:t>- Timestamp freshness and policy version linkage</w:t>
      </w:r>
    </w:p>
    <w:p>
      <w:pPr>
        <w:pStyle w:val="Heading2"/>
      </w:pPr>
      <w:r>
        <w:t>4. Execution Rules and Capsule Boundaries</w:t>
      </w:r>
    </w:p>
    <w:p>
      <w:r>
        <w:t>- Applications must not access host runtime outside declared capsule</w:t>
        <w:br/>
        <w:t>- Network, screen, file access must be explicitly defined in capsule policy</w:t>
        <w:br/>
        <w:t>- Execution must trigger a runtime audit event (linked to capsule ID and role)</w:t>
        <w:br/>
        <w:t>- Emergency overrides must be signed and limited</w:t>
      </w:r>
    </w:p>
    <w:p>
      <w:pPr>
        <w:pStyle w:val="Heading2"/>
      </w:pPr>
      <w:r>
        <w:t>5. Runtime Isolation</w:t>
      </w:r>
    </w:p>
    <w:p>
      <w:r>
        <w:t>Capsules must execute in a virtualized boundary (e.g., sandboxed container, vApp, or sealed environment). They may not retain persistent state outside of policy-bound volume mounts or regulated logs.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