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MaxBridge v1.2 – Add-on Module: CRS Compliance Mapping</w:t>
      </w:r>
    </w:p>
    <w:p>
      <w:r>
        <w:t>Module Title: CRS Compliance Mapping</w:t>
      </w:r>
    </w:p>
    <w:p>
      <w:r>
        <w:t>Version: 1.2</w:t>
      </w:r>
    </w:p>
    <w:p>
      <w:r>
        <w:t>Document Type: System Add-on Mapping &amp; Classification</w:t>
      </w:r>
    </w:p>
    <w:p>
      <w:r>
        <w:t>License: TBYD License v2.2 + Addendum A (Preview Right Only)</w:t>
      </w:r>
    </w:p>
    <w:p>
      <w:r>
        <w:t>Subsystem: MaxBridge (CRS Compliance Verification)</w:t>
      </w:r>
    </w:p>
    <w:p>
      <w:r>
        <w:t>Release Context: Part of MaxOneOpen v4.1 ecosystem – standalone deployable</w:t>
      </w:r>
    </w:p>
    <w:p>
      <w:r>
        <w:t>Status: CTO-aligned – certified structure</w:t>
      </w:r>
    </w:p>
    <w:p>
      <w:r>
        <w:br w:type="page"/>
      </w:r>
    </w:p>
    <w:p>
      <w:pPr>
        <w:pStyle w:val="Heading1"/>
      </w:pPr>
      <w:r>
        <w:t>1. Purpose</w:t>
      </w:r>
    </w:p>
    <w:p>
      <w:r>
        <w:t>This module provides a structural compliance mapping matrix between CRS capsule fields and common governance, treaty, or legal enforcement requirements. It defines how each data field or structural feature contributes to audit, certification, or treaty recognition.</w:t>
      </w:r>
    </w:p>
    <w:p>
      <w:pPr>
        <w:pStyle w:val="Heading1"/>
      </w:pPr>
      <w:r>
        <w:t>2. Mapping Table</w:t>
      </w:r>
    </w:p>
    <w:p>
      <w:r>
        <w:t>The following CRS capsule elements are directly mapped to compliance domains:</w:t>
      </w:r>
    </w:p>
    <w:p>
      <w:pPr>
        <w:pStyle w:val="ListBullet"/>
      </w:pPr>
      <w:r>
        <w:t>- `manifest.policyScope` → Treaty alignment, license applicability</w:t>
      </w:r>
    </w:p>
    <w:p>
      <w:pPr>
        <w:pStyle w:val="ListBullet"/>
      </w:pPr>
      <w:r>
        <w:t>- `meta.audit.json` → Verifiability and signature traceability (audit chain)</w:t>
      </w:r>
    </w:p>
    <w:p>
      <w:pPr>
        <w:pStyle w:val="ListBullet"/>
      </w:pPr>
      <w:r>
        <w:t>- `anchor.ref` → Fork chain, jurisdictional boundary reference</w:t>
      </w:r>
    </w:p>
    <w:p>
      <w:pPr>
        <w:pStyle w:val="ListBullet"/>
      </w:pPr>
      <w:r>
        <w:t>- `capsule.class` → System classification: enforceable, simulate, test</w:t>
      </w:r>
    </w:p>
    <w:p>
      <w:pPr>
        <w:pStyle w:val="ListBullet"/>
      </w:pPr>
      <w:r>
        <w:t>- `validation.path` → Execution decision log for external review</w:t>
      </w:r>
    </w:p>
    <w:p>
      <w:pPr>
        <w:pStyle w:val="Heading1"/>
      </w:pPr>
      <w:r>
        <w:t>3. Policy Verification Links</w:t>
      </w:r>
    </w:p>
    <w:p>
      <w:r>
        <w:t>Capsules are linked to verified policies via `policyRef` and `ruleSig`. These allow external compliance systems (MaxAudit, treaty verifiers) to confirm rule origin and execution rights.</w:t>
      </w:r>
    </w:p>
    <w:p>
      <w:pPr>
        <w:pStyle w:val="Heading1"/>
      </w:pPr>
      <w:r>
        <w:t>4. Jurisdictional Compliance Considerations</w:t>
      </w:r>
    </w:p>
    <w:p>
      <w:r>
        <w:t>CRS capsules declare their applicable jurisdiction via metadata binding. This enables automated alignment with local treaty rules and enforcement codes, reducing review latency.</w:t>
      </w:r>
    </w:p>
    <w:p>
      <w:pPr>
        <w:pStyle w:val="Heading1"/>
      </w:pPr>
      <w:r>
        <w:t>5. Integration with MaxAudit &amp; Governance</w:t>
      </w:r>
    </w:p>
    <w:p>
      <w:r>
        <w:t>All mappings are recognized within MaxAudit IATL format and are automatically relayed in audit capsules. Governance observers may subscribe to mapping traces for live compliance surveillance or retrospective certification.</w:t>
      </w:r>
    </w:p>
    <w:p>
      <w:pPr>
        <w:pStyle w:val="Heading1"/>
      </w:pPr>
      <w:r>
        <w:t>6. Exportable Compliance Map</w:t>
      </w:r>
    </w:p>
    <w:p>
      <w:r>
        <w:t>The full compliance mapping can be exported in machine-readable form (JSON schema) to assist external tools, treaty platforms or compliance monitors in reproducing verification paths.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