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MaxProcess – Cost &amp; Risk Sheet (CFO View)</w:t>
      </w:r>
    </w:p>
    <w:p>
      <w:r>
        <w:t>System: MaxProcess</w:t>
      </w:r>
    </w:p>
    <w:p>
      <w:r>
        <w:t>Document Type: CFO Operational Briefing</w:t>
      </w:r>
    </w:p>
    <w:p>
      <w:r>
        <w:t>Version: 1.0</w:t>
      </w:r>
    </w:p>
    <w:p>
      <w:r>
        <w:t>Authoring Unit: TBYD Governance Economics Core</w:t>
      </w:r>
    </w:p>
    <w:p>
      <w:r>
        <w:t>License: TBYD License v2.2 / Audit Addendum A</w:t>
      </w:r>
    </w:p>
    <w:p/>
    <w:p>
      <w:pPr>
        <w:pStyle w:val="Heading1"/>
      </w:pPr>
      <w:r>
        <w:t>1. Cost Structure</w:t>
      </w:r>
    </w:p>
    <w:p>
      <w:r>
        <w:t>- Development Cost: one-time cost for building the capsule logic (varies by process complexity)</w:t>
        <w:br/>
        <w:t>- Operational Cost: near-zero (no engine, no runtime component)</w:t>
        <w:br/>
        <w:t>- Integration Cost: low, since capsules reference existing infrastructure</w:t>
        <w:br/>
        <w:t>- Governance Cost: bounded, defined by treaty audit layer and override logic</w:t>
        <w:br/>
        <w:t>- Licensing: MaxProcess is covered under TBYD v2.2 (Class A, 2,500 € ETH-equivalent protective fee)</w:t>
        <w:br/>
      </w:r>
    </w:p>
    <w:p>
      <w:pPr>
        <w:pStyle w:val="Heading1"/>
      </w:pPr>
      <w:r>
        <w:t>2. ROI Drivers</w:t>
      </w:r>
    </w:p>
    <w:p>
      <w:r>
        <w:t>- Reduction of audit costs by removing implicit backend logic</w:t>
        <w:br/>
        <w:t>- Elimination of runtime infrastructure dependencies (no workflow server needed)</w:t>
        <w:br/>
        <w:t>- Enforceable delegation and refusal logic reduces risk exposure</w:t>
        <w:br/>
        <w:t>- Native treaty enforcement ensures faster governance execution</w:t>
        <w:br/>
        <w:t>- Verifiability improves institutional trust and reduces validation delays</w:t>
      </w:r>
    </w:p>
    <w:p>
      <w:pPr>
        <w:pStyle w:val="Heading1"/>
      </w:pPr>
      <w:r>
        <w:t>3. Governance Risk Analysis</w:t>
      </w:r>
    </w:p>
    <w:p>
      <w:r>
        <w:t>- Misconfiguration Risk: mitigated through versioned, signed capsules and trace freeze</w:t>
        <w:br/>
        <w:t>- Escalation Failure: addressed via MPC-04 override logic and fallback anchoring</w:t>
        <w:br/>
        <w:t>- Liability Ambiguity: resolved through governance scope anchoring and refusal documentation</w:t>
        <w:br/>
        <w:t>- Regulatory Breach: reduced through DORA/SOX/GDPR-aligned capsule lifecycle</w:t>
        <w:br/>
      </w:r>
    </w:p>
    <w:p>
      <w:pPr>
        <w:pStyle w:val="Heading1"/>
      </w:pPr>
      <w:r>
        <w:t>4. Licensing Impact</w:t>
      </w:r>
    </w:p>
    <w:p>
      <w:r>
        <w:t>- Use of MaxProcess requires registration and payment of Class A protection fee (ETH equivalent)</w:t>
        <w:br/>
        <w:t>- All components are usable under Preview Addendum A for architecture review (non-production)</w:t>
        <w:br/>
        <w:t>- Productive use triggers full legal rights including capsule trace ownership and delegation control</w:t>
        <w:br/>
      </w:r>
    </w:p>
    <w:p>
      <w:pPr>
        <w:pStyle w:val="Heading1"/>
      </w:pPr>
      <w:r>
        <w:t>5. CFO Summary</w:t>
      </w:r>
    </w:p>
    <w:p>
      <w:r>
        <w:t>MaxProcess avoids traditional workflow infrastructure costs and provides structural return on integrity and audit reduction. Its CFO logic aligns with license-based cost protection and treaty-driven liability shielding.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