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MaxOneOpen Add-on Compatibility Matrix – TBYD Modular Layer Reference</w:t>
      </w:r>
    </w:p>
    <w:p>
      <w:pPr>
        <w:spacing w:after="120"/>
      </w:pPr>
      <w:r>
        <w:rPr>
          <w:b w:val="0"/>
          <w:i w:val="0"/>
        </w:rPr>
        <w:t>Version: 4.1 | Classification: Add-on Declaration &amp; Integration Layer</w:t>
        <w:br/>
        <w:t>Scope: Clarifies the modular status, function, and compatibility of MaxOneOpen Add-on Systems.</w:t>
      </w:r>
    </w:p>
    <w:p>
      <w:pPr>
        <w:spacing w:before="240"/>
      </w:pPr>
      <w:r>
        <w:rPr>
          <w:b/>
          <w:sz w:val="22"/>
        </w:rPr>
        <w:t>CTO Declaration</w:t>
      </w:r>
    </w:p>
    <w:p>
      <w:pPr>
        <w:spacing w:after="120"/>
      </w:pPr>
      <w:r>
        <w:rPr>
          <w:b w:val="0"/>
          <w:i w:val="0"/>
        </w:rPr>
        <w:t>This document confirms that no add-on listed below is required to achieve runtime compliance under the TBYD enforcement model. All add-ons operate under capsule logic, follow the same audit and governance standards, and may be modularly applied depending on operator-specific execution needs.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Module</w:t>
            </w:r>
          </w:p>
        </w:tc>
        <w:tc>
          <w:tcPr>
            <w:tcW w:type="dxa" w:w="2160"/>
          </w:tcPr>
          <w:p>
            <w:r>
              <w:t>Functional Layer</w:t>
            </w:r>
          </w:p>
        </w:tc>
        <w:tc>
          <w:tcPr>
            <w:tcW w:type="dxa" w:w="2160"/>
          </w:tcPr>
          <w:p>
            <w:r>
              <w:t>Status</w:t>
            </w:r>
          </w:p>
        </w:tc>
        <w:tc>
          <w:tcPr>
            <w:tcW w:type="dxa" w:w="2160"/>
          </w:tcPr>
          <w:p>
            <w:r>
              <w:t>Core Benefit for Open Source</w:t>
            </w:r>
          </w:p>
        </w:tc>
      </w:tr>
      <w:tr>
        <w:tc>
          <w:tcPr>
            <w:tcW w:type="dxa" w:w="2160"/>
          </w:tcPr>
          <w:p>
            <w:r>
              <w:t>MaxAudit</w:t>
            </w:r>
          </w:p>
        </w:tc>
        <w:tc>
          <w:tcPr>
            <w:tcW w:type="dxa" w:w="2160"/>
          </w:tcPr>
          <w:p>
            <w:r>
              <w:t>Governance</w:t>
            </w:r>
          </w:p>
        </w:tc>
        <w:tc>
          <w:tcPr>
            <w:tcW w:type="dxa" w:w="2160"/>
          </w:tcPr>
          <w:p>
            <w:r>
              <w:t>Live</w:t>
            </w:r>
          </w:p>
        </w:tc>
        <w:tc>
          <w:tcPr>
            <w:tcW w:type="dxa" w:w="2160"/>
          </w:tcPr>
          <w:p>
            <w:r>
              <w:t>Verifiable rule auditing &amp; public trust signals</w:t>
            </w:r>
          </w:p>
        </w:tc>
      </w:tr>
      <w:tr>
        <w:tc>
          <w:tcPr>
            <w:tcW w:type="dxa" w:w="2160"/>
          </w:tcPr>
          <w:p>
            <w:r>
              <w:t>MaxReg</w:t>
            </w:r>
          </w:p>
        </w:tc>
        <w:tc>
          <w:tcPr>
            <w:tcW w:type="dxa" w:w="2160"/>
          </w:tcPr>
          <w:p>
            <w:r>
              <w:t>Governance</w:t>
            </w:r>
          </w:p>
        </w:tc>
        <w:tc>
          <w:tcPr>
            <w:tcW w:type="dxa" w:w="2160"/>
          </w:tcPr>
          <w:p>
            <w:r>
              <w:t>Live</w:t>
            </w:r>
          </w:p>
        </w:tc>
        <w:tc>
          <w:tcPr>
            <w:tcW w:type="dxa" w:w="2160"/>
          </w:tcPr>
          <w:p>
            <w:r>
              <w:t>Declarative rule profiles &amp; cross-project comparability</w:t>
            </w:r>
          </w:p>
        </w:tc>
      </w:tr>
      <w:tr>
        <w:tc>
          <w:tcPr>
            <w:tcW w:type="dxa" w:w="2160"/>
          </w:tcPr>
          <w:p>
            <w:r>
              <w:t>MaxTune</w:t>
            </w:r>
          </w:p>
        </w:tc>
        <w:tc>
          <w:tcPr>
            <w:tcW w:type="dxa" w:w="2160"/>
          </w:tcPr>
          <w:p>
            <w:r>
              <w:t>Governance</w:t>
            </w:r>
          </w:p>
        </w:tc>
        <w:tc>
          <w:tcPr>
            <w:tcW w:type="dxa" w:w="2160"/>
          </w:tcPr>
          <w:p>
            <w:r>
              <w:t>Live</w:t>
            </w:r>
          </w:p>
        </w:tc>
        <w:tc>
          <w:tcPr>
            <w:tcW w:type="dxa" w:w="2160"/>
          </w:tcPr>
          <w:p>
            <w:r>
              <w:t>Technical consistency and system integrity verification</w:t>
            </w:r>
          </w:p>
        </w:tc>
      </w:tr>
      <w:tr>
        <w:tc>
          <w:tcPr>
            <w:tcW w:type="dxa" w:w="2160"/>
          </w:tcPr>
          <w:p>
            <w:r>
              <w:t>SDG</w:t>
            </w:r>
          </w:p>
        </w:tc>
        <w:tc>
          <w:tcPr>
            <w:tcW w:type="dxa" w:w="2160"/>
          </w:tcPr>
          <w:p>
            <w:r>
              <w:t>Governance</w:t>
            </w:r>
          </w:p>
        </w:tc>
        <w:tc>
          <w:tcPr>
            <w:tcW w:type="dxa" w:w="2160"/>
          </w:tcPr>
          <w:p>
            <w:r>
              <w:t>Live</w:t>
            </w:r>
          </w:p>
        </w:tc>
        <w:tc>
          <w:tcPr>
            <w:tcW w:type="dxa" w:w="2160"/>
          </w:tcPr>
          <w:p>
            <w:r>
              <w:t>Structural ethical/legal bounding layer</w:t>
            </w:r>
          </w:p>
        </w:tc>
      </w:tr>
      <w:tr>
        <w:tc>
          <w:tcPr>
            <w:tcW w:type="dxa" w:w="2160"/>
          </w:tcPr>
          <w:p>
            <w:r>
              <w:t>MaxSuite</w:t>
            </w:r>
          </w:p>
        </w:tc>
        <w:tc>
          <w:tcPr>
            <w:tcW w:type="dxa" w:w="2160"/>
          </w:tcPr>
          <w:p>
            <w:r>
              <w:t>Application Integration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Controlled OSS app containerization (LibreOffice, Jitsi)</w:t>
            </w:r>
          </w:p>
        </w:tc>
      </w:tr>
      <w:tr>
        <w:tc>
          <w:tcPr>
            <w:tcW w:type="dxa" w:w="2160"/>
          </w:tcPr>
          <w:p>
            <w:r>
              <w:t>MaxWorkRoles</w:t>
            </w:r>
          </w:p>
        </w:tc>
        <w:tc>
          <w:tcPr>
            <w:tcW w:type="dxa" w:w="2160"/>
          </w:tcPr>
          <w:p>
            <w:r>
              <w:t>Execution Logic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Role- and rights-based access &amp; workflow delegation</w:t>
            </w:r>
          </w:p>
        </w:tc>
      </w:tr>
      <w:tr>
        <w:tc>
          <w:tcPr>
            <w:tcW w:type="dxa" w:w="2160"/>
          </w:tcPr>
          <w:p>
            <w:r>
              <w:t>MaxProcess</w:t>
            </w:r>
          </w:p>
        </w:tc>
        <w:tc>
          <w:tcPr>
            <w:tcW w:type="dxa" w:w="2160"/>
          </w:tcPr>
          <w:p>
            <w:r>
              <w:t>Organizational Logic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Forms, approvals, flow control</w:t>
            </w:r>
          </w:p>
        </w:tc>
      </w:tr>
      <w:tr>
        <w:tc>
          <w:tcPr>
            <w:tcW w:type="dxa" w:w="2160"/>
          </w:tcPr>
          <w:p>
            <w:r>
              <w:t>MaxBridge</w:t>
            </w:r>
          </w:p>
        </w:tc>
        <w:tc>
          <w:tcPr>
            <w:tcW w:type="dxa" w:w="2160"/>
          </w:tcPr>
          <w:p>
            <w:r>
              <w:t>Compatibility Layer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Proxy for non-sovereign systems (e.g. M365, Zoom)</w:t>
            </w:r>
          </w:p>
        </w:tc>
      </w:tr>
      <w:tr>
        <w:tc>
          <w:tcPr>
            <w:tcW w:type="dxa" w:w="2160"/>
          </w:tcPr>
          <w:p>
            <w:r>
              <w:t>MaxGovernance</w:t>
            </w:r>
          </w:p>
        </w:tc>
        <w:tc>
          <w:tcPr>
            <w:tcW w:type="dxa" w:w="2160"/>
          </w:tcPr>
          <w:p>
            <w:r>
              <w:t>Structural Trust Control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Fork tracking, license enforcement, origin auditability</w:t>
            </w:r>
          </w:p>
        </w:tc>
      </w:tr>
      <w:tr>
        <w:tc>
          <w:tcPr>
            <w:tcW w:type="dxa" w:w="2160"/>
          </w:tcPr>
          <w:p>
            <w:r>
              <w:t>MaxUXSuite</w:t>
            </w:r>
          </w:p>
        </w:tc>
        <w:tc>
          <w:tcPr>
            <w:tcW w:type="dxa" w:w="2160"/>
          </w:tcPr>
          <w:p>
            <w:r>
              <w:t>Usability Framework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Standardized UI/UX layer for OSS clarity and adoption</w:t>
            </w:r>
          </w:p>
        </w:tc>
      </w:tr>
      <w:tr>
        <w:tc>
          <w:tcPr>
            <w:tcW w:type="dxa" w:w="2160"/>
          </w:tcPr>
          <w:p>
            <w:r>
              <w:t>MaxJudicial</w:t>
            </w:r>
          </w:p>
        </w:tc>
        <w:tc>
          <w:tcPr>
            <w:tcW w:type="dxa" w:w="2160"/>
          </w:tcPr>
          <w:p>
            <w:r>
              <w:t>Legal Visibility Layer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Court-compatible audit proofs &amp; legal reference points</w:t>
            </w:r>
          </w:p>
        </w:tc>
      </w:tr>
      <w:tr>
        <w:tc>
          <w:tcPr>
            <w:tcW w:type="dxa" w:w="2160"/>
          </w:tcPr>
          <w:p>
            <w:r>
              <w:t>MaxDeploy</w:t>
            </w:r>
          </w:p>
        </w:tc>
        <w:tc>
          <w:tcPr>
            <w:tcW w:type="dxa" w:w="2160"/>
          </w:tcPr>
          <w:p>
            <w:r>
              <w:t>Operational Rollout</w:t>
            </w:r>
          </w:p>
        </w:tc>
        <w:tc>
          <w:tcPr>
            <w:tcW w:type="dxa" w:w="2160"/>
          </w:tcPr>
          <w:p>
            <w:r>
              <w:t>Planned</w:t>
            </w:r>
          </w:p>
        </w:tc>
        <w:tc>
          <w:tcPr>
            <w:tcW w:type="dxa" w:w="2160"/>
          </w:tcPr>
          <w:p>
            <w:r>
              <w:t>Reproducible, secure deployments across infrastructures</w:t>
            </w:r>
          </w:p>
        </w:tc>
      </w:tr>
    </w:tbl>
    <w:p>
      <w:pPr>
        <w:spacing w:before="240"/>
      </w:pPr>
      <w:r>
        <w:rPr>
          <w:b/>
          <w:sz w:val="22"/>
        </w:rPr>
        <w:t>Integration Note</w:t>
      </w:r>
    </w:p>
    <w:p>
      <w:pPr>
        <w:spacing w:after="120"/>
      </w:pPr>
      <w:r>
        <w:rPr>
          <w:b w:val="0"/>
          <w:i w:val="0"/>
        </w:rPr>
        <w:t>Add-ons enhance MaxOneOpen functionality in domain-specific contexts (e.g. legal, usability, compatibility), but never override capsule policy, runtime sovereignty, or audit requirements. Federation nodes may select, omit, or compose add-ons independently.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