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27 – Predictive Governance &amp; AI Capsule</w:t>
      </w:r>
    </w:p>
    <w:p>
      <w:pPr>
        <w:spacing w:after="120"/>
      </w:pPr>
      <w:r>
        <w:rPr>
          <w:b w:val="0"/>
          <w:i w:val="0"/>
        </w:rPr>
        <w:t>Version: 4.1 | Classification: Capsule-Driven Predictive Control Logic</w:t>
        <w:br/>
        <w:t>Scope: Integration of machine learning, predictive audit support, and zero-knowledge mechanisms into MaxOneOpen runtime governance.</w:t>
      </w:r>
    </w:p>
    <w:p>
      <w:pPr>
        <w:spacing w:before="240"/>
      </w:pPr>
      <w:r>
        <w:rPr>
          <w:b/>
          <w:sz w:val="22"/>
        </w:rPr>
        <w:t>Capsule Initialization</w:t>
      </w:r>
    </w:p>
    <w:p>
      <w:pPr>
        <w:spacing w:after="120"/>
      </w:pPr>
      <w:r>
        <w:rPr>
          <w:b w:val="0"/>
          <w:i w:val="0"/>
        </w:rPr>
        <w:t>This capsule is instantiated when predictive control logic, anomaly simulation, or AI-supported audit interpretation is activated within a certified MaxOneOpen runtime. Its activation is mandatory whenever ML inference, capsule scoring, or automated deviation detection interacts with runtime decision vectors.</w:t>
      </w:r>
    </w:p>
    <w:p>
      <w:pPr>
        <w:spacing w:before="240"/>
      </w:pPr>
      <w:r>
        <w:rPr>
          <w:b/>
          <w:sz w:val="22"/>
        </w:rPr>
        <w:t>0. Purpose &amp; Predictive Control Premise</w:t>
      </w:r>
    </w:p>
    <w:p>
      <w:pPr>
        <w:spacing w:after="120"/>
      </w:pPr>
      <w:r>
        <w:rPr>
          <w:b w:val="0"/>
          <w:i w:val="0"/>
        </w:rPr>
        <w:t>This capsule provides the foundation for predictive and AI-supported runtime governance. It introduces logic constraints, structural explainability requirements, and risk isolation for machine learning components interfacing with capsule-based environments.</w:t>
      </w:r>
    </w:p>
    <w:p>
      <w:pPr>
        <w:spacing w:before="240"/>
      </w:pPr>
      <w:r>
        <w:rPr>
          <w:b/>
          <w:sz w:val="22"/>
        </w:rPr>
        <w:t>1. Structural Boundaries for AI Integration</w:t>
      </w:r>
    </w:p>
    <w:p>
      <w:pPr>
        <w:spacing w:after="120"/>
      </w:pPr>
      <w:r>
        <w:rPr>
          <w:b w:val="0"/>
          <w:i w:val="0"/>
        </w:rPr>
        <w:t>- All ML modules must operate within non-authoritative observability capsules.</w:t>
      </w:r>
    </w:p>
    <w:p>
      <w:pPr>
        <w:spacing w:after="120"/>
      </w:pPr>
      <w:r>
        <w:rPr>
          <w:b w:val="0"/>
          <w:i w:val="0"/>
        </w:rPr>
        <w:t>- Inference outputs may advise governance but cannot override runtime policy enforcement.</w:t>
      </w:r>
    </w:p>
    <w:p>
      <w:pPr>
        <w:spacing w:after="120"/>
      </w:pPr>
      <w:r>
        <w:rPr>
          <w:b w:val="0"/>
          <w:i w:val="0"/>
        </w:rPr>
        <w:t>- Capsule isolation must prevent model drift, training leakage, or unauthorized retraining.</w:t>
      </w:r>
    </w:p>
    <w:p>
      <w:pPr>
        <w:spacing w:before="240"/>
      </w:pPr>
      <w:r>
        <w:rPr>
          <w:b/>
          <w:sz w:val="22"/>
        </w:rPr>
        <w:t>2. Predictive Anomaly Detection Layer</w:t>
      </w:r>
    </w:p>
    <w:p>
      <w:pPr>
        <w:spacing w:after="120"/>
      </w:pPr>
      <w:r>
        <w:rPr>
          <w:b w:val="0"/>
          <w:i w:val="0"/>
        </w:rPr>
        <w:t>- Runtime signal analysis is used to detect execution anomalies, trust divergence, and rollback conditions.</w:t>
      </w:r>
    </w:p>
    <w:p>
      <w:pPr>
        <w:spacing w:after="120"/>
      </w:pPr>
      <w:r>
        <w:rPr>
          <w:b w:val="0"/>
          <w:i w:val="0"/>
        </w:rPr>
        <w:t>- Capsule scoring models are trained on certified audit lineage and runtime outcomes.</w:t>
      </w:r>
    </w:p>
    <w:p>
      <w:pPr>
        <w:spacing w:after="120"/>
      </w:pPr>
      <w:r>
        <w:rPr>
          <w:b w:val="0"/>
          <w:i w:val="0"/>
        </w:rPr>
        <w:t>- Detected anomalies trigger simulation capsules for verification without affecting active flows.</w:t>
      </w:r>
    </w:p>
    <w:p>
      <w:pPr>
        <w:spacing w:before="240"/>
      </w:pPr>
      <w:r>
        <w:rPr>
          <w:b/>
          <w:sz w:val="22"/>
        </w:rPr>
        <w:t>3. Explainability &amp; Audit Trace Logic</w:t>
      </w:r>
    </w:p>
    <w:p>
      <w:pPr>
        <w:spacing w:after="120"/>
      </w:pPr>
      <w:r>
        <w:rPr>
          <w:b w:val="0"/>
          <w:i w:val="0"/>
        </w:rPr>
        <w:t>- All AI decisions must be structurally explainable and snapshot-reproducible.</w:t>
      </w:r>
    </w:p>
    <w:p>
      <w:pPr>
        <w:spacing w:after="120"/>
      </w:pPr>
      <w:r>
        <w:rPr>
          <w:b w:val="0"/>
          <w:i w:val="0"/>
        </w:rPr>
        <w:t>- Capsule logs include model version, decision vector, and observability context.</w:t>
      </w:r>
    </w:p>
    <w:p>
      <w:pPr>
        <w:spacing w:after="120"/>
      </w:pPr>
      <w:r>
        <w:rPr>
          <w:b w:val="0"/>
          <w:i w:val="0"/>
        </w:rPr>
        <w:t>- Black-box models are prohibited in runtime-relevant decision capsules.</w:t>
      </w:r>
    </w:p>
    <w:p>
      <w:pPr>
        <w:spacing w:before="240"/>
      </w:pPr>
      <w:r>
        <w:rPr>
          <w:b/>
          <w:sz w:val="22"/>
        </w:rPr>
        <w:t>4. Zero-Knowledge &amp; Multiparty Integration</w:t>
      </w:r>
    </w:p>
    <w:p>
      <w:pPr>
        <w:spacing w:after="120"/>
      </w:pPr>
      <w:r>
        <w:rPr>
          <w:b w:val="0"/>
          <w:i w:val="0"/>
        </w:rPr>
        <w:t>- Capsule commitments may be validated via zero-knowledge proofs (ZKP) without exposing payloads.</w:t>
      </w:r>
    </w:p>
    <w:p>
      <w:pPr>
        <w:spacing w:after="120"/>
      </w:pPr>
      <w:r>
        <w:rPr>
          <w:b w:val="0"/>
          <w:i w:val="0"/>
        </w:rPr>
        <w:t>- Secure multiparty execution may support capsule verification across federated jurisdictions.</w:t>
      </w:r>
    </w:p>
    <w:p>
      <w:pPr>
        <w:spacing w:after="120"/>
      </w:pPr>
      <w:r>
        <w:rPr>
          <w:b w:val="0"/>
          <w:i w:val="0"/>
        </w:rPr>
        <w:t>- ML-triggered privacy capsule revalidation must follow runtime-bound consent lineage.</w:t>
      </w:r>
    </w:p>
    <w:p>
      <w:pPr>
        <w:spacing w:before="240"/>
      </w:pPr>
      <w:r>
        <w:rPr>
          <w:b/>
          <w:sz w:val="22"/>
        </w:rPr>
        <w:t>5. Operational Constraints &amp; Enforcement</w:t>
      </w:r>
    </w:p>
    <w:p>
      <w:pPr>
        <w:spacing w:after="120"/>
      </w:pPr>
      <w:r>
        <w:rPr>
          <w:b w:val="0"/>
          <w:i w:val="0"/>
        </w:rPr>
        <w:t>- No ML component may alter runtime state directly.</w:t>
      </w:r>
    </w:p>
    <w:p>
      <w:pPr>
        <w:spacing w:after="120"/>
      </w:pPr>
      <w:r>
        <w:rPr>
          <w:b w:val="0"/>
          <w:i w:val="0"/>
        </w:rPr>
        <w:t>- Federation runtimes must certify any predictive models via auditable registration capsules.</w:t>
      </w:r>
    </w:p>
    <w:p>
      <w:pPr>
        <w:spacing w:after="120"/>
      </w:pPr>
      <w:r>
        <w:rPr>
          <w:b w:val="0"/>
          <w:i w:val="0"/>
        </w:rPr>
        <w:t>- Deployment of AI-enhanced capsules requires signature from federation-approved model registry.</w:t>
      </w:r>
    </w:p>
    <w:p>
      <w:pPr>
        <w:spacing w:before="240"/>
      </w:pPr>
      <w:r>
        <w:rPr>
          <w:b/>
          <w:sz w:val="22"/>
        </w:rPr>
        <w:t>6. Roadmap Commitments (v4.2 aligned)</w:t>
      </w:r>
    </w:p>
    <w:p>
      <w:pPr>
        <w:spacing w:after="120"/>
      </w:pPr>
      <w:r>
        <w:rPr>
          <w:b w:val="0"/>
          <w:i w:val="0"/>
        </w:rPr>
        <w:t>- Capsule-native explainability framework for audit AI outputs.</w:t>
      </w:r>
    </w:p>
    <w:p>
      <w:pPr>
        <w:spacing w:after="120"/>
      </w:pPr>
      <w:r>
        <w:rPr>
          <w:b w:val="0"/>
          <w:i w:val="0"/>
        </w:rPr>
        <w:t>- Federated model registry with runtime deployment approvals.</w:t>
      </w:r>
    </w:p>
    <w:p>
      <w:pPr>
        <w:spacing w:after="120"/>
      </w:pPr>
      <w:r>
        <w:rPr>
          <w:b w:val="0"/>
          <w:i w:val="0"/>
        </w:rPr>
        <w:t>- ML-suggested policy simulation sandbox with rollback assurance logic.</w:t>
      </w:r>
    </w:p>
    <w:p>
      <w:pPr>
        <w:spacing w:before="240"/>
      </w:pPr>
      <w:r>
        <w:rPr>
          <w:b/>
          <w:sz w:val="22"/>
        </w:rPr>
        <w:t>Final CTO Statement</w:t>
      </w:r>
    </w:p>
    <w:p>
      <w:pPr>
        <w:spacing w:after="120"/>
      </w:pPr>
      <w:r>
        <w:rPr>
          <w:b w:val="0"/>
          <w:i w:val="0"/>
        </w:rPr>
        <w:t>This capsule defines the only permitted method to integrate predictive AI into MaxOneOpen without compromising structural integrity. It ensures explainability, enforcement isolation, and audit lineage continuity for any ML-supported process. Its use is mandatory for all federated deployments engaging with predictive runtime analysis or capsule optimization.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