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Executive Summary – MaxOneOpen v4.1 (TBYD Final Edition)</w:t>
      </w:r>
    </w:p>
    <w:p>
      <w:pPr>
        <w:spacing w:after="120"/>
      </w:pPr>
      <w:r>
        <w:rPr>
          <w:b w:val="0"/>
          <w:i w:val="0"/>
        </w:rPr>
        <w:t>Version: 4.1 | Classification: Executive CTO Summary (Final Certified Capsule Architecture)</w:t>
      </w:r>
    </w:p>
    <w:p>
      <w:pPr>
        <w:spacing w:before="240"/>
      </w:pPr>
      <w:r>
        <w:rPr>
          <w:b/>
          <w:sz w:val="22"/>
        </w:rPr>
        <w:t>1. What MaxOneOpen Is – And Is Not</w:t>
      </w:r>
    </w:p>
    <w:p>
      <w:pPr>
        <w:spacing w:after="120"/>
      </w:pPr>
      <w:r>
        <w:rPr>
          <w:b w:val="0"/>
          <w:i w:val="0"/>
        </w:rPr>
        <w:t>MaxOneOpen is not a product, cloud platform, or software framework. It is a certified executable architecture that enforces runtime trust, compliance, and sovereignty through structural capsule logic. No component relies on runtime interpretation or external vendor control.</w:t>
      </w:r>
    </w:p>
    <w:p>
      <w:pPr>
        <w:spacing w:before="240"/>
      </w:pPr>
      <w:r>
        <w:rPr>
          <w:b/>
          <w:sz w:val="22"/>
        </w:rPr>
        <w:t>2. Strategic Purpose</w:t>
      </w:r>
    </w:p>
    <w:p>
      <w:pPr>
        <w:spacing w:after="120"/>
      </w:pPr>
      <w:r>
        <w:rPr>
          <w:b w:val="0"/>
          <w:i w:val="0"/>
        </w:rPr>
        <w:t>MaxOneOpen provides verifiable, sovereign infrastructure for public-sector, alliance-based, and federated digital operations. It is designed to eliminate ambiguity, enforce license compliance, and ensure auditability of every execution event.</w:t>
      </w:r>
    </w:p>
    <w:p>
      <w:pPr>
        <w:spacing w:before="240"/>
      </w:pPr>
      <w:r>
        <w:rPr>
          <w:b/>
          <w:sz w:val="22"/>
        </w:rPr>
        <w:t>3. Core Architecture – Capsules as Execution Law</w:t>
      </w:r>
    </w:p>
    <w:p>
      <w:pPr>
        <w:spacing w:after="120"/>
      </w:pPr>
      <w:r>
        <w:rPr>
          <w:b w:val="0"/>
          <w:i w:val="0"/>
        </w:rPr>
        <w:t>Every function within MaxOneOpen is encapsulated into immutable, auditable, and independently certifiable logic units called capsules. Capsules define access paths, policy boundaries, rollback mechanisms, simulation vectors, and license scope.</w:t>
      </w:r>
    </w:p>
    <w:p>
      <w:pPr>
        <w:spacing w:before="240"/>
      </w:pPr>
      <w:r>
        <w:rPr>
          <w:b/>
          <w:sz w:val="22"/>
        </w:rPr>
        <w:t>4. Governance Enforcement – Not Optional</w:t>
      </w:r>
    </w:p>
    <w:p>
      <w:pPr>
        <w:spacing w:after="120"/>
      </w:pPr>
      <w:r>
        <w:rPr>
          <w:b w:val="0"/>
          <w:i w:val="0"/>
        </w:rPr>
        <w:t>Capsule governance in MaxOneOpen is mandatory. License enforcement, fork arbitration, escalation procedures, and execution lineage are structurally embedded. No system instance can bypass or override these controls without triggering revocation.</w:t>
      </w:r>
    </w:p>
    <w:p>
      <w:pPr>
        <w:spacing w:before="240"/>
      </w:pPr>
      <w:r>
        <w:rPr>
          <w:b/>
          <w:sz w:val="22"/>
        </w:rPr>
        <w:t>5. Runtime Privacy &amp; Consent Control</w:t>
      </w:r>
    </w:p>
    <w:p>
      <w:pPr>
        <w:spacing w:after="120"/>
      </w:pPr>
      <w:r>
        <w:rPr>
          <w:b w:val="0"/>
          <w:i w:val="0"/>
        </w:rPr>
        <w:t>Data access and processing are subject to capsule-enforced privacy boundaries. Consent handling, classification, and revocation logic are runtime-executed, not merely declared. The architecture is compliant with GDPR, CCPA, LGPD and similar frameworks.</w:t>
      </w:r>
    </w:p>
    <w:p>
      <w:pPr>
        <w:spacing w:before="240"/>
      </w:pPr>
      <w:r>
        <w:rPr>
          <w:b/>
          <w:sz w:val="22"/>
        </w:rPr>
        <w:t>6. CI/CD &amp; Operational Runtime Admission</w:t>
      </w:r>
    </w:p>
    <w:p>
      <w:pPr>
        <w:spacing w:after="120"/>
      </w:pPr>
      <w:r>
        <w:rPr>
          <w:b w:val="0"/>
          <w:i w:val="0"/>
        </w:rPr>
        <w:t>All deployments must pass capsule-verified CI/CD gates. Simulation, audit, and rollback readiness are required for every runtime to enter certified execution. Runtime snapshots and hash-tracked promotion gates are mandatory.</w:t>
      </w:r>
    </w:p>
    <w:p>
      <w:pPr>
        <w:spacing w:before="240"/>
      </w:pPr>
      <w:r>
        <w:rPr>
          <w:b/>
          <w:sz w:val="22"/>
        </w:rPr>
        <w:t>7. Predictive Governance &amp; Explainable AI</w:t>
      </w:r>
    </w:p>
    <w:p>
      <w:pPr>
        <w:spacing w:after="120"/>
      </w:pPr>
      <w:r>
        <w:rPr>
          <w:b w:val="0"/>
          <w:i w:val="0"/>
        </w:rPr>
        <w:t>MaxOneOpen permits ML-based observability – never decision authority. All predictive logic must be explainable, non-invasive, capsule-contained, and snapshot-traceable. Black-box inference paths are excluded by governance.</w:t>
      </w:r>
    </w:p>
    <w:p>
      <w:pPr>
        <w:spacing w:before="240"/>
      </w:pPr>
      <w:r>
        <w:rPr>
          <w:b/>
          <w:sz w:val="22"/>
        </w:rPr>
        <w:t>8. Migration Path from Legacy Systems</w:t>
      </w:r>
    </w:p>
    <w:p>
      <w:pPr>
        <w:spacing w:after="120"/>
      </w:pPr>
      <w:r>
        <w:rPr>
          <w:b w:val="0"/>
          <w:i w:val="0"/>
        </w:rPr>
        <w:t>Certified migration capsules support dual-run, shadow, and cold-swap transitions. Each migration is traceable, reversible, and simulation-verified before full integration. Legacy incompatibility is flagged with rollback fallback enforcement.</w:t>
      </w:r>
    </w:p>
    <w:p>
      <w:pPr>
        <w:spacing w:before="240"/>
      </w:pPr>
      <w:r>
        <w:rPr>
          <w:b/>
          <w:sz w:val="22"/>
        </w:rPr>
        <w:t>9. Add-on Declaration (Modular, Not Required)</w:t>
      </w:r>
    </w:p>
    <w:p>
      <w:pPr>
        <w:spacing w:after="120"/>
      </w:pPr>
      <w:r>
        <w:rPr>
          <w:b w:val="0"/>
          <w:i w:val="0"/>
        </w:rPr>
        <w:t>All add-ons (e.g., MaxAudit, MaxReg, MaxBridge) are capsule-bound and optional. None are required to achieve runtime compliance. The official Add-on Compatibility Matrix (TBYD) is included to prevent misinterpretation. No functional dependency exists between core and add-ons at the certification layer.</w:t>
      </w:r>
    </w:p>
    <w:p>
      <w:pPr>
        <w:spacing w:before="240"/>
      </w:pPr>
      <w:r>
        <w:rPr>
          <w:b/>
          <w:sz w:val="22"/>
        </w:rPr>
        <w:t>10. Final Executive Message</w:t>
      </w:r>
    </w:p>
    <w:p>
      <w:pPr>
        <w:spacing w:after="120"/>
      </w:pPr>
      <w:r>
        <w:rPr>
          <w:b w:val="0"/>
          <w:i w:val="0"/>
        </w:rPr>
        <w:t>MaxOneOpen v4.1 is the first open architecture that achieves runtime trust, license enforcement, audit traceability, privacy compliance, deployment governance, and structural sovereignty – without relying on platform-specific products or cloud providers.</w:t>
        <w:br/>
        <w:br/>
        <w:t>Everything that is optional in other architectures is mandatory here. Everything that is runtime-relevant is verifiable here. And everything that claims trust is enforceable here. This is runtime-by-design – certified.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