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XX – Audit Observer &amp; Capsule Alerting Framework</w:t>
      </w:r>
    </w:p>
    <w:p>
      <w:r>
        <w:t>Version: 4.1 | Classification: CTO Mandatory (Runtime Observation &amp; Risk Signaling)</w:t>
      </w:r>
    </w:p>
    <w:p>
      <w:r>
        <w:t>Scope: Live monitoring, policy violation signaling, runtime anomaly detection</w:t>
      </w:r>
    </w:p>
    <w:p>
      <w:pPr>
        <w:pStyle w:val="Heading2"/>
      </w:pPr>
      <w:r>
        <w:t>0. Purpose &amp; Real-Time Observation Requirement</w:t>
      </w:r>
    </w:p>
    <w:p>
      <w:r>
        <w:t>This module defines the runtime observability, signaling interface, and trust-sensitive alert logic for MaxOneOpen v4.1. It enables system actors to detect critical execution anomalies, replay attempts, fork divergence, and policy conflicts in real time. The alert framework is capsule-based and required for audit visibility, operational response, and runtime trust escalation.</w:t>
      </w:r>
    </w:p>
    <w:p>
      <w:pPr>
        <w:pStyle w:val="Heading2"/>
      </w:pPr>
      <w:r>
        <w:t>1. Audit Observer Roles &amp; Event Visibility</w:t>
      </w:r>
    </w:p>
    <w:p>
      <w:r>
        <w:t>Three observer roles are defined:</w:t>
        <w:br/>
        <w:t>- Sovereign Audit Node (SAN): full capsule path trace and anomaly alerts</w:t>
        <w:br/>
        <w:t>- Operational Observer: limited visibility on sandbox, manifest, fork, and replay flows</w:t>
        <w:br/>
        <w:t>- Public Observer: access to rule-level alert summaries and global trust shifts</w:t>
        <w:br/>
        <w:t>Observers are notified via streaming capsule feed (signed &amp; hash-chain bound).</w:t>
      </w:r>
    </w:p>
    <w:p>
      <w:pPr>
        <w:pStyle w:val="Heading2"/>
      </w:pPr>
      <w:r>
        <w:t>2. Capsule Alert Types &amp; Emission Triggers</w:t>
      </w:r>
    </w:p>
    <w:p>
      <w:r>
        <w:t>Alert Capsules include:</w:t>
        <w:br/>
        <w:t>- `Fork Divergence Alert Capsule (FDAC)`</w:t>
        <w:br/>
        <w:t>- `Replay Attempt Capsule (RAC)`</w:t>
        <w:br/>
        <w:t>- `Policy Collision Capsule (PCC)`</w:t>
        <w:br/>
        <w:t>- `Audit Chain Drift Capsule (ACDC)`</w:t>
        <w:br/>
        <w:t>- `Unauthorized Capsule Origin Alert (UCOA)`</w:t>
        <w:br/>
        <w:t>Triggers:</w:t>
        <w:br/>
        <w:t>- fork chain mismatch</w:t>
        <w:br/>
        <w:t>- repeated capsule hash in wrong time window</w:t>
        <w:br/>
        <w:t>- audit ledger desynchronization</w:t>
        <w:br/>
        <w:t>- manifest mismatch with trust declaration</w:t>
      </w:r>
    </w:p>
    <w:p>
      <w:pPr>
        <w:pStyle w:val="Heading2"/>
      </w:pPr>
      <w:r>
        <w:t>3. Alert Overlay Channels &amp; Capsule Trace View</w:t>
      </w:r>
    </w:p>
    <w:p>
      <w:r>
        <w:t>Alerts are dispatched to runtime overlays:</w:t>
        <w:br/>
        <w:t>- Trust Zone Alert Overlay</w:t>
        <w:br/>
        <w:t>- Capsule Chain Divergence Map</w:t>
        <w:br/>
        <w:t>- Fork Trace Heatmap Viewer</w:t>
        <w:br/>
        <w:t>- Execution Policy Monitor</w:t>
        <w:br/>
        <w:t>Each alert is anchorable into the Ledger (Module 13) and replayable via Module 14.</w:t>
      </w:r>
    </w:p>
    <w:p>
      <w:pPr>
        <w:pStyle w:val="Heading2"/>
      </w:pPr>
      <w:r>
        <w:t>4. Runtime Hook Integration &amp; Auto-Response Logic</w:t>
      </w:r>
    </w:p>
    <w:p>
      <w:r>
        <w:t>Alert hooks may be triggered from:</w:t>
        <w:br/>
        <w:t>- Manifest Engine (Module 06)</w:t>
        <w:br/>
        <w:t>- Ledger Commit Path (Module 13)</w:t>
        <w:br/>
        <w:t>- Audit Capsule Checker (Module 14)</w:t>
        <w:br/>
        <w:t>- Certification Validator (Module 17)</w:t>
        <w:br/>
        <w:t>Optional responses:</w:t>
        <w:br/>
        <w:t>- policy freeze</w:t>
        <w:br/>
        <w:t>- sandbox isolation</w:t>
        <w:br/>
        <w:t>- fork quarantine initiation</w:t>
        <w:br/>
        <w:t>- temporary certification suspension</w:t>
      </w:r>
    </w:p>
    <w:p>
      <w:pPr>
        <w:pStyle w:val="Heading2"/>
      </w:pPr>
      <w:r>
        <w:t>5. Certification &amp; Operational Readiness Impact</w:t>
      </w:r>
    </w:p>
    <w:p>
      <w:r>
        <w:t>Absence of this alerting layer disqualifies deployments from real-time certified trust enforcement. Modules 17 and 18 must reference active alert coverage before reentry or certification confirmation. All emitted alerts must be signed, anchored, and publicly traceable when required.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