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26 – Migration &amp; Transition Planning Capsule</w:t>
      </w:r>
    </w:p>
    <w:p>
      <w:pPr>
        <w:spacing w:after="120"/>
      </w:pPr>
      <w:r>
        <w:rPr>
          <w:b w:val="0"/>
          <w:i w:val="0"/>
        </w:rPr>
        <w:t>Version: 4.1 | Classification: Capsule-Based Legacy Transition Control</w:t>
        <w:br/>
        <w:t>Scope: Structured transition from conventional architectures to MaxOneOpen capsule runtime environments.</w:t>
      </w:r>
    </w:p>
    <w:p>
      <w:pPr>
        <w:spacing w:before="240"/>
      </w:pPr>
      <w:r>
        <w:rPr>
          <w:b/>
          <w:sz w:val="22"/>
        </w:rPr>
        <w:t>Capsule Initialization</w:t>
      </w:r>
    </w:p>
    <w:p>
      <w:pPr>
        <w:spacing w:after="120"/>
      </w:pPr>
      <w:r>
        <w:rPr>
          <w:b w:val="0"/>
          <w:i w:val="0"/>
        </w:rPr>
        <w:t>This capsule is instantiated at the initiation of any migration or transition process from existing systems into the MaxOneOpen runtime. It defines migration phases, runtime compatibility scopes, rollback alignment, and compliance mapping for legacy environment integration. Activation is mandatory for all transitions involving critical data or infrastructure.</w:t>
      </w:r>
    </w:p>
    <w:p>
      <w:pPr>
        <w:spacing w:before="240"/>
      </w:pPr>
      <w:r>
        <w:rPr>
          <w:b/>
          <w:sz w:val="22"/>
        </w:rPr>
        <w:t>0. Purpose &amp; Transition Control Logic</w:t>
      </w:r>
    </w:p>
    <w:p>
      <w:pPr>
        <w:spacing w:after="120"/>
      </w:pPr>
      <w:r>
        <w:rPr>
          <w:b w:val="0"/>
          <w:i w:val="0"/>
        </w:rPr>
        <w:t>This capsule formalizes the approach to migrate from legacy systems, cloud platforms, or traditional stacks into MaxOneOpen runtime capsules. It defines approved methods, compliance stages, runtime equivalence requirements, and rollback strategies to ensure continuity and auditability.</w:t>
      </w:r>
    </w:p>
    <w:p>
      <w:pPr>
        <w:spacing w:before="240"/>
      </w:pPr>
      <w:r>
        <w:rPr>
          <w:b/>
          <w:sz w:val="22"/>
        </w:rPr>
        <w:t>1. Approved Migration Strategies</w:t>
      </w:r>
    </w:p>
    <w:p>
      <w:pPr>
        <w:spacing w:after="120"/>
      </w:pPr>
      <w:r>
        <w:rPr>
          <w:b w:val="0"/>
          <w:i w:val="0"/>
        </w:rPr>
        <w:t>- Dual Run: Execute legacy and capsule runtime in parallel with audit logging.</w:t>
      </w:r>
    </w:p>
    <w:p>
      <w:pPr>
        <w:spacing w:after="120"/>
      </w:pPr>
      <w:r>
        <w:rPr>
          <w:b w:val="0"/>
          <w:i w:val="0"/>
        </w:rPr>
        <w:t>- Shadow Deployment: Capsule executes in silent audit mode beside live legacy instance.</w:t>
      </w:r>
    </w:p>
    <w:p>
      <w:pPr>
        <w:spacing w:after="120"/>
      </w:pPr>
      <w:r>
        <w:rPr>
          <w:b w:val="0"/>
          <w:i w:val="0"/>
        </w:rPr>
        <w:t>- Full Replacement: Cold transition with pre-certified capsule simulation.</w:t>
      </w:r>
    </w:p>
    <w:p>
      <w:pPr>
        <w:spacing w:after="120"/>
      </w:pPr>
      <w:r>
        <w:rPr>
          <w:b w:val="0"/>
          <w:i w:val="0"/>
        </w:rPr>
        <w:t>- Controlled Fork: Existing runtime adapted to capsule logic with partial compatibility capsule.</w:t>
      </w:r>
    </w:p>
    <w:p>
      <w:pPr>
        <w:spacing w:before="240"/>
      </w:pPr>
      <w:r>
        <w:rPr>
          <w:b/>
          <w:sz w:val="22"/>
        </w:rPr>
        <w:t>2. Compatibility Classification</w:t>
      </w:r>
    </w:p>
    <w:p>
      <w:pPr>
        <w:spacing w:after="120"/>
      </w:pPr>
      <w:r>
        <w:rPr>
          <w:b w:val="0"/>
          <w:i w:val="0"/>
        </w:rPr>
        <w:t>- Full Compatibility: Module maps 1:1 to capsule structure with simulation parity.</w:t>
      </w:r>
    </w:p>
    <w:p>
      <w:pPr>
        <w:spacing w:after="120"/>
      </w:pPr>
      <w:r>
        <w:rPr>
          <w:b w:val="0"/>
          <w:i w:val="0"/>
        </w:rPr>
        <w:t>- Partial Compatibility: Requires capsule wrapper for boundary enforcement.</w:t>
      </w:r>
    </w:p>
    <w:p>
      <w:pPr>
        <w:spacing w:after="120"/>
      </w:pPr>
      <w:r>
        <w:rPr>
          <w:b w:val="0"/>
          <w:i w:val="0"/>
        </w:rPr>
        <w:t>- Non-Compatible: Legacy logic violates trust boundaries; replacement mandatory.</w:t>
      </w:r>
    </w:p>
    <w:p>
      <w:pPr>
        <w:spacing w:before="240"/>
      </w:pPr>
      <w:r>
        <w:rPr>
          <w:b/>
          <w:sz w:val="22"/>
        </w:rPr>
        <w:t>3. Compliance Migration Anchors</w:t>
      </w:r>
    </w:p>
    <w:p>
      <w:pPr>
        <w:spacing w:after="120"/>
      </w:pPr>
      <w:r>
        <w:rPr>
          <w:b w:val="0"/>
          <w:i w:val="0"/>
        </w:rPr>
        <w:t>- All transition paths must be registered and auditable.</w:t>
      </w:r>
    </w:p>
    <w:p>
      <w:pPr>
        <w:spacing w:after="120"/>
      </w:pPr>
      <w:r>
        <w:rPr>
          <w:b w:val="0"/>
          <w:i w:val="0"/>
        </w:rPr>
        <w:t>- Compliance anchors include policy migration vector, identity remap logic, and consent realignment triggers.</w:t>
      </w:r>
    </w:p>
    <w:p>
      <w:pPr>
        <w:spacing w:after="120"/>
      </w:pPr>
      <w:r>
        <w:rPr>
          <w:b w:val="0"/>
          <w:i w:val="0"/>
        </w:rPr>
        <w:t>- Intra-migration validation steps must be cryptographically signed and replayable.</w:t>
      </w:r>
    </w:p>
    <w:p>
      <w:pPr>
        <w:spacing w:before="240"/>
      </w:pPr>
      <w:r>
        <w:rPr>
          <w:b/>
          <w:sz w:val="22"/>
        </w:rPr>
        <w:t>4. Transition Audit Structure</w:t>
      </w:r>
    </w:p>
    <w:p>
      <w:pPr>
        <w:spacing w:after="120"/>
      </w:pPr>
      <w:r>
        <w:rPr>
          <w:b w:val="0"/>
          <w:i w:val="0"/>
        </w:rPr>
        <w:t>- Audit logs capture lineage trace from legacy to capsule form.</w:t>
      </w:r>
    </w:p>
    <w:p>
      <w:pPr>
        <w:spacing w:after="120"/>
      </w:pPr>
      <w:r>
        <w:rPr>
          <w:b w:val="0"/>
          <w:i w:val="0"/>
        </w:rPr>
        <w:t>- Federation observers may verify transition trails and issue compliance receipts.</w:t>
      </w:r>
    </w:p>
    <w:p>
      <w:pPr>
        <w:spacing w:after="120"/>
      </w:pPr>
      <w:r>
        <w:rPr>
          <w:b w:val="0"/>
          <w:i w:val="0"/>
        </w:rPr>
        <w:t>- Any loss of traceability voids capsule certification until resolution.</w:t>
      </w:r>
    </w:p>
    <w:p>
      <w:pPr>
        <w:spacing w:before="240"/>
      </w:pPr>
      <w:r>
        <w:rPr>
          <w:b/>
          <w:sz w:val="22"/>
        </w:rPr>
        <w:t>5. Operational Migration Controls</w:t>
      </w:r>
    </w:p>
    <w:p>
      <w:pPr>
        <w:spacing w:after="120"/>
      </w:pPr>
      <w:r>
        <w:rPr>
          <w:b w:val="0"/>
          <w:i w:val="0"/>
        </w:rPr>
        <w:t>- Federation runtimes accept capsule entry only if migration proof is present.</w:t>
      </w:r>
    </w:p>
    <w:p>
      <w:pPr>
        <w:spacing w:after="120"/>
      </w:pPr>
      <w:r>
        <w:rPr>
          <w:b w:val="0"/>
          <w:i w:val="0"/>
        </w:rPr>
        <w:t>- Runtime rollback logic must support legacy reentry in case of capsule failure.</w:t>
      </w:r>
    </w:p>
    <w:p>
      <w:pPr>
        <w:spacing w:after="120"/>
      </w:pPr>
      <w:r>
        <w:rPr>
          <w:b w:val="0"/>
          <w:i w:val="0"/>
        </w:rPr>
        <w:t>- Migration capsules must specify fallback state hashes and capsule state vectors.</w:t>
      </w:r>
    </w:p>
    <w:p>
      <w:pPr>
        <w:spacing w:before="240"/>
      </w:pPr>
      <w:r>
        <w:rPr>
          <w:b/>
          <w:sz w:val="22"/>
        </w:rPr>
        <w:t>6. Roadmap Commitments (v4.2 aligned)</w:t>
      </w:r>
    </w:p>
    <w:p>
      <w:pPr>
        <w:spacing w:after="120"/>
      </w:pPr>
      <w:r>
        <w:rPr>
          <w:b w:val="0"/>
          <w:i w:val="0"/>
        </w:rPr>
        <w:t>- Pre-built migration bridges for major cloud stacks (e.g. AWS Lambda, Azure Functions).</w:t>
      </w:r>
    </w:p>
    <w:p>
      <w:pPr>
        <w:spacing w:after="120"/>
      </w:pPr>
      <w:r>
        <w:rPr>
          <w:b w:val="0"/>
          <w:i w:val="0"/>
        </w:rPr>
        <w:t>- Capsule migration orchestration templates.</w:t>
      </w:r>
    </w:p>
    <w:p>
      <w:pPr>
        <w:spacing w:after="120"/>
      </w:pPr>
      <w:r>
        <w:rPr>
          <w:b w:val="0"/>
          <w:i w:val="0"/>
        </w:rPr>
        <w:t>- Legacy simulator for dry-run transition certification.</w:t>
      </w:r>
    </w:p>
    <w:p>
      <w:pPr>
        <w:spacing w:before="240"/>
      </w:pPr>
      <w:r>
        <w:rPr>
          <w:b/>
          <w:sz w:val="22"/>
        </w:rPr>
        <w:t>Final CTO Statement</w:t>
      </w:r>
    </w:p>
    <w:p>
      <w:pPr>
        <w:spacing w:after="120"/>
      </w:pPr>
      <w:r>
        <w:rPr>
          <w:b w:val="0"/>
          <w:i w:val="0"/>
        </w:rPr>
        <w:t>This capsule enables controlled, certifiable, and reversible transition from legacy systems into MaxOneOpen capsule execution environments. It defines migration phases, compatibility criteria, audit steps, and rollback guarantees. Its enforcement is mandatory for any system entering capsule runtime scope from a non-certified origin.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