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Operational TCO &amp; Scale Impact Analysis – Runtime Cost, Ledger Load &amp; Audit Overhead Model</w:t>
      </w:r>
    </w:p>
    <w:p>
      <w:r>
        <w:t>Version: 4.1 | Classification: CTO-Mandatory | Language: EN</w:t>
      </w:r>
    </w:p>
    <w:p>
      <w:r>
        <w:t>Scope: Total Cost of Ownership (TCO), capsule volume benchmarks, audit scaling and performance tolerance for MaxOneOpen v4.1</w:t>
      </w:r>
    </w:p>
    <w:p>
      <w:pPr>
        <w:pStyle w:val="Heading2"/>
      </w:pPr>
      <w:r>
        <w:t>0. Purpose &amp; CTO Cost Transparency Requirement</w:t>
      </w:r>
    </w:p>
    <w:p>
      <w:r>
        <w:t>This document defines the operational expenditure model, performance envelope, and scaling stress impact of MaxOneOpen v4.1 deployments. It addresses runtime capsule load, ledger growth, audit response time, add-on cost boundaries and total cost of ownership (TCO) projections. It is mandatory for sovereign CTO-level deployments and required to assess economic feasibility and audit integrity under scale.</w:t>
      </w:r>
    </w:p>
    <w:p>
      <w:pPr>
        <w:pStyle w:val="Heading2"/>
      </w:pPr>
      <w:r>
        <w:t>1. Capsule Volume Projections &amp; Ledger Impact</w:t>
      </w:r>
    </w:p>
    <w:p>
      <w:r>
        <w:t>Estimated capsule emission per system type (per 1000 operations):</w:t>
        <w:br/>
        <w:t>- Execution Control: 1000–1200</w:t>
        <w:br/>
        <w:t>- Audit &amp; Trace: 800–1100</w:t>
        <w:br/>
        <w:t>- Policy/Rule Changes: 50–100</w:t>
        <w:br/>
        <w:t>- Fork / Recovery Events: 20–50</w:t>
        <w:br/>
        <w:t>- Add-on Systems: 300–600 (sandboxed)</w:t>
        <w:br/>
        <w:t>Ledger size growth estimate:</w:t>
        <w:br/>
        <w:t>- Capsule metadata chain only: ~100MB per 100K events</w:t>
        <w:br/>
        <w:t>- Full capsule state chain: ~1.2–2.5GB per 100K events (depending on payload class)</w:t>
      </w:r>
    </w:p>
    <w:p>
      <w:pPr>
        <w:pStyle w:val="Heading2"/>
      </w:pPr>
      <w:r>
        <w:t>2. Audit Trace Overhead &amp; Runtime Verification Cost</w:t>
      </w:r>
    </w:p>
    <w:p>
      <w:r>
        <w:t>Average overhead for audit replay and forensic capsule reentry:</w:t>
        <w:br/>
        <w:t>- Execution sessions (10 steps): 5–10 ms overhead per query</w:t>
        <w:br/>
        <w:t>- Deep forensic chain replay (100–200 capsules): 100–200 ms</w:t>
        <w:br/>
        <w:t>- Real-time validation of ongoing execution: ~1–2% CPU baseline per node</w:t>
        <w:br/>
        <w:t>Performance cost per node is minimal under 10K daily capsules; scale considerations apply beyond that.</w:t>
      </w:r>
    </w:p>
    <w:p>
      <w:pPr>
        <w:pStyle w:val="Heading2"/>
      </w:pPr>
      <w:r>
        <w:t>3. Add-on Cost Envelope &amp; Governance Overhead</w:t>
      </w:r>
    </w:p>
    <w:p>
      <w:r>
        <w:t>Add-on systems consume additional capsule and audit capacity:</w:t>
        <w:br/>
        <w:t>- Sandbox execution (Module 07): 15–25% runtime footprint increase</w:t>
        <w:br/>
        <w:t>- Add-on ledger binding: 10–15% capsule load growth</w:t>
        <w:br/>
        <w:t>- Governance/Audit capsule export cost: 0.2–0.5GB per month (per sovereign role)</w:t>
        <w:br/>
        <w:t>High audit tiers require additional disk and compute provisioning.</w:t>
      </w:r>
    </w:p>
    <w:p>
      <w:pPr>
        <w:pStyle w:val="Heading2"/>
      </w:pPr>
      <w:r>
        <w:t>4. Deployment Cost Factors &amp; TCO Reference</w:t>
      </w:r>
    </w:p>
    <w:p>
      <w:r>
        <w:t>TCO calculation for a typical sovereign node (12-month cycle):</w:t>
        <w:br/>
        <w:t>- Capsule runtime framework: 1x standard containerized VM</w:t>
        <w:br/>
        <w:t>- Ledger storage (SSD): 1–3TB per year @ 50K–200K events/month</w:t>
        <w:br/>
        <w:t>- Audit infrastructure (optional): 1x forensic node per 5 sovereigns</w:t>
        <w:br/>
        <w:t>- Operational cost: ~15–30€ / sovereign / month (excluding hosting)</w:t>
        <w:br/>
        <w:t>Expected audit-proof cost remains below that of commercial governance stacks.</w:t>
      </w:r>
    </w:p>
    <w:p>
      <w:pPr>
        <w:pStyle w:val="Heading2"/>
      </w:pPr>
      <w:r>
        <w:t>5. Certification Binding &amp; Audit Transparency</w:t>
      </w:r>
    </w:p>
    <w:p>
      <w:r>
        <w:t>This cost and scale analysis must be referenced in any deployment claiming sovereign auditability or CTO-grade certification. It supports certification decisions in Module 17 and operational validation in Module 15. Absence of this report invalidates scale-trace and system sustainability claims.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